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 of right-angle collisions of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550, Transportation Code, is amended by adding Section 550.082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550.082.</w:t>
      </w:r>
      <w:r>
        <w:rPr>
          <w:u w:val="single"/>
        </w:rPr>
        <w:t xml:space="preserve"> </w:t>
      </w:r>
      <w:r>
        <w:rPr>
          <w:u w:val="single"/>
        </w:rPr>
        <w:t xml:space="preserve"> </w:t>
      </w:r>
      <w:r>
        <w:rPr>
          <w:u w:val="single"/>
        </w:rPr>
        <w:t xml:space="preserve">Report of Right-Angle Collision; Traffic Study.  (a)  This section applies only to an intersection of roadways at least one of which is part of the state highway system or of a roadway that is part of the state highway system with an alley or driveway and only if the intersection is not controlled by a traffic-control signal.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officer who investigates a right-angle collision at an intersection shall file a written report stating the occurrence and location of the collision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collision occurred in a municipality, the municipal police department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any 12-month period a governmental entity receives under this section 10 or more reports of right-angle collisions that occur at the same intersection, the governmental entity shall perform a traffic study of that location and shall take the actions that the governmental entity determines reasonable and necessary to improve the safety at the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collected under this section is privileged from discovery, is confidential for purposes of Chapter 552, Government Code, and is not admissible in a court on any issue of liability.  This section does not waive sovereign immunity and has no effect on any of the exclusions and exceptions contained in Chapter 101, Civil Practices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"Right-angle collision" means a motor vehicle collision in which the side of one vehicle is struck by the front or rear of another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"Roadway" means a street, road, or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