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87R10543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reduction in the amount of sales and use tax collections that certain taxpayers who employ tipped employees are required to remit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151.4245.</w:t>
      </w:r>
      <w:r>
        <w:rPr>
          <w:u w:val="single"/>
        </w:rPr>
        <w:t xml:space="preserve"> </w:t>
      </w:r>
      <w:r>
        <w:rPr>
          <w:u w:val="single"/>
        </w:rPr>
        <w:t xml:space="preserve"> </w:t>
      </w:r>
      <w:r>
        <w:rPr>
          <w:u w:val="single"/>
        </w:rPr>
        <w:t xml:space="preserve">DISCOUNT FOR CERTAIN TAXPAYERS EMPLOYING TIPPED EMPLOYEES.  (a) In this section, "tipped employee" has the meaning assigned by Section 62.052(b), Labor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taxpayer may deduct and withhold 1.25 percent of the amount of tax liability for a quarter or month in which a payment is made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half of the taxpayer's employees are tipped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taxpayer pays each tipped employee a cash wage in an amount that is not less than the federal minimum wage under Section 6, Fair Labor Standards Act of 1938 (29 U.S.C. Section 206), for an employee who is not a tipped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order to qualify for the deduction under Subsection (b), the taxpayer shall provide to the comptroller paystubs or other documentation showing that the taxpayer meets the requirements of Subsection (b).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