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87R10545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4016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operating agreements between holders of a distiller's and rectifier's permit and certain alcoholic beverage permit holders.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 Alcoholic Beverage Code, is amended by adding Section 14.10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w:t>
      </w:r>
      <w:r>
        <w:rPr>
          <w:u w:val="single"/>
        </w:rPr>
        <w:t xml:space="preserve"> </w:t>
      </w:r>
      <w:r>
        <w:rPr>
          <w:u w:val="single"/>
        </w:rPr>
        <w:t xml:space="preserve"> </w:t>
      </w:r>
      <w:r>
        <w:rPr>
          <w:u w:val="single"/>
        </w:rPr>
        <w:t xml:space="preserve">OPERATING AGREEMENTS BETWEEN PERMIT HOLDERS.  (a)  The holder of a distiller's and rectifier's permit may engage in any activity authorized by that permit on the permitted premises of another distiller's and rectifier's permit holder under an agreement between the permit holders that is approved by the commission and that describes with specificity the nature, duration, and extent of the activities authorized by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distiller's and rectifier's permit may enter into an agreement authorized by Section 37.011 with the holder of a nonresident seller's permit that allows the nonresident seller to use the distiller's permitted premises to manufacture, rectify, purify, and refine distilled spirits and to bottle, label, and package the nonresident seller's finished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regulating the shared use of the permitted premises under this section to ensure administrative accountability of each permit holder and a strict separation between the businesses and operations of the permit holders.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 Alcoholic Beverage Code, is amended by adding Section 37.011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37.011.</w:t>
      </w:r>
      <w:r>
        <w:rPr>
          <w:u w:val="single"/>
        </w:rPr>
        <w:t xml:space="preserve"> </w:t>
      </w:r>
      <w:r>
        <w:rPr>
          <w:u w:val="single"/>
        </w:rPr>
        <w:t xml:space="preserve"> </w:t>
      </w:r>
      <w:r>
        <w:rPr>
          <w:u w:val="single"/>
        </w:rPr>
        <w:t xml:space="preserve">OPERATING AGREEMENT WITH IN-STATE DISTILLERY.  (a)  The holder of a nonresident seller's permit who owns a distillery outside of the state may enter into an agreement with the holder of a distiller's and rectifier's permit that allows the nonresident seller to manufacture, rectify, purify, and refine distilled spirits and to bottle, label, and package the nonresident seller's finished products on the distiller's and rectifier's permitted premises.  The agreement is subject to approval by the commission and must describe with specificity the nature, duration, and extent of the activities authorized by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regulating the shared use of the permitted premises under this section to ensure administrative accountability of each permit holder and a strict separation between the businesses and operations of the permit holders.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