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87R20509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Guillen</w:t>
      </w:r>
      <w:r xml:space="preserve">
        <w:tab wTab="150" tlc="none" cTlc="0"/>
      </w:r>
      <w:r>
        <w:t xml:space="preserve">H.B.</w:t>
      </w:r>
      <w:r xml:space="preserve">
        <w:t> </w:t>
      </w:r>
      <w:r>
        <w:t xml:space="preserve">No.</w:t>
      </w:r>
      <w:r xml:space="preserve">
        <w:t> </w:t>
      </w:r>
      <w:r>
        <w:t xml:space="preserve">4018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4018:</w:t>
      </w: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C.S.H.B.</w:t>
      </w:r>
      <w:r xml:space="preserve">
        <w:t> </w:t>
      </w:r>
      <w:r>
        <w:t xml:space="preserve">No.</w:t>
      </w:r>
      <w:r xml:space="preserve">
        <w:t> </w:t>
      </w:r>
      <w:r>
        <w:t xml:space="preserve">4018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legislative oversight and funding of improvement and modernization projects for state agency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Q, Chapter 2054, Government Code, is amended by adding Sections 2054.577 and 2054.578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2054.577.</w:t>
      </w:r>
      <w:r>
        <w:rPr>
          <w:u w:val="single"/>
        </w:rPr>
        <w:t xml:space="preserve"> </w:t>
      </w:r>
      <w:r>
        <w:rPr>
          <w:u w:val="single"/>
        </w:rPr>
        <w:t xml:space="preserve"> </w:t>
      </w:r>
      <w:r>
        <w:rPr>
          <w:u w:val="single"/>
        </w:rPr>
        <w:t xml:space="preserve">TECHNOLOGY IMPROVEMENT AND MODERNIZATION  FUND.  (a)  The technology improvement and modernization fund is a special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at the direction of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federal government for the purposes of improving and modernizing state agency information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donations, and grants to the fund, including federal grants;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interest earned on the investment of money in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to improve and modernize state agency information resources, including legacy system projects and cybersecurity projects;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used to replace money appropriated to a state agency for the purposes of operating and maintaining state agency information resources or reduce the amount of money appropriated to a state agency for those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404.071 does not apply to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2054.578.</w:t>
      </w:r>
      <w:r>
        <w:rPr>
          <w:u w:val="single"/>
        </w:rPr>
        <w:t xml:space="preserve"> </w:t>
      </w:r>
      <w:r>
        <w:rPr>
          <w:u w:val="single"/>
        </w:rPr>
        <w:t xml:space="preserve"> </w:t>
      </w:r>
      <w:r>
        <w:rPr>
          <w:u w:val="single"/>
        </w:rPr>
        <w:t xml:space="preserve">JOINT OVERSIGHT COMMITTEE ON INVESTMENT IN INFORMATION TECHNOLOGY IMPROVEMENT AND MODERNIZATION PROJECTS.  (a)  In this section, "committee" means the Joint Oversight Committee on Investment in Information Technology Improvement and Modernization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is created to review investment and funding strategies for projects to improve or modernize state agency information resources technologies.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is composed of six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of the senate appointed by the lieutenant governor;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of the house of representatives appointed by the speaker of the house of representatives.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officer of the committee shall alternate annually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senate appointed by the lieutenant governor;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house of representatives appointed by the speaker of the house of representatives.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vacancy on the committee shall be filled in the same manner as the original appointment.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committee biennially shall provide a written report to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existing and planned projects to improve or modernize state agency information resources technologies;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method of funding for each project identified by the committee under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determination by the committee of the amount necessary to fully fund each project identified under Subdivision (1) to completion;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strategies developed by the committee to ensure a long-term investment solution for projects to improve or modernize state agency information resources technologies is in place, including strategies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access the full amount of federal money available for those projects;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use information gathered by the department during previous projects to improve the management, oversight, and transparency of future projects.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provide staff support for the committee.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powers of a joint committee;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obtain funding in the same manner as a joint committee.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rules adopted by the 87th Legislature for the administration of joint committees apply to the committee to the extent the rules are consistent with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committee is abolished and this section expires September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"committee" means the Joint Oversight Committee on Investment in Information Technology Improvement and Modernization Projects.</w:t>
      </w:r>
    </w:p>
    <w:p w:rsidR="003F3435" w:rsidRDefault="0032493E">
      <w:pPr>
        <w:spacing w:line="480" w:lineRule="auto"/>
        <w:ind w:firstLine="720"/>
        <w:jc w:val="both"/>
      </w:pPr>
      <w:r>
        <w:t xml:space="preserve">(b)</w:t>
      </w:r>
      <w:r xml:space="preserve">
        <w:t> </w:t>
      </w:r>
      <w:r xml:space="preserve">
        <w:t> </w:t>
      </w:r>
      <w:r>
        <w:t xml:space="preserve">The lieutenant governor and the speaker of the house of representatives shall make appointments to the committee not later than the 30th day after the effective date of this Act.</w:t>
      </w:r>
    </w:p>
    <w:p w:rsidR="003F3435" w:rsidRDefault="0032493E">
      <w:pPr>
        <w:spacing w:line="480" w:lineRule="auto"/>
        <w:ind w:firstLine="720"/>
        <w:jc w:val="both"/>
      </w:pPr>
      <w:r>
        <w:t xml:space="preserve">(c)</w:t>
      </w:r>
      <w:r xml:space="preserve">
        <w:t> </w:t>
      </w:r>
      <w:r xml:space="preserve">
        <w:t> </w:t>
      </w:r>
      <w:r>
        <w:t xml:space="preserve">The speaker of the house of representatives shall appoint the initial presiding officer of the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