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87R12216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4018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technology improvement and modernization account and the permissible uses of money in the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Q, Chapter 2054, Government Code, is amended by adding Section 2054.578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2054.578.</w:t>
      </w:r>
      <w:r>
        <w:rPr>
          <w:u w:val="single"/>
        </w:rPr>
        <w:t xml:space="preserve"> </w:t>
      </w:r>
      <w:r>
        <w:rPr>
          <w:u w:val="single"/>
        </w:rPr>
        <w:t xml:space="preserve"> </w:t>
      </w:r>
      <w:r>
        <w:rPr>
          <w:u w:val="single"/>
        </w:rPr>
        <w:t xml:space="preserve">TECHNOLOGY IMPROVEMENT AND MODERNIZATION  ACCOUNT.  (a)  The technology improvement and modernization account is an account in the general revenue fund administered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 money received from the federal government for the purposes of improving and modernizing state agency information resources and deposited to the credit of the account at the direction of the legislature.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account may be appropriated only to the department for use by the department to improve and modernize state agency information resources, including legacy system projects and cybersecurity projects.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