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4022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health improvement and pollution reduction through recycling incentives; assessing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5, Health and Safety Code, is amended by adding Chapter 375 to read as follows:</w:t>
      </w:r>
    </w:p>
    <w:p w:rsidR="003F3435" w:rsidRDefault="0032493E">
      <w:pPr>
        <w:spacing w:line="480" w:lineRule="auto"/>
        <w:jc w:val="center"/>
      </w:pPr>
      <w:r>
        <w:rPr>
          <w:u w:val="single"/>
        </w:rPr>
        <w:t xml:space="preserve">CHAPTER 375.  TEXAS CLEAN AND HEALTHY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"Beverage" means a nonalcoholic, carbonated, or noncarbonated drink prepared in liquid, ready-to-drink form and intended for human consumption.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soda;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water, including mineral water and vitamin water;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carbonated water, including carbonated mineral water;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carbonated soft drinks;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noncarbonated soft drinks and sport drinks;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noncarbonated fruit drinks;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energy drinks;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coffee and tea drinks;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carbonated fruit drinks.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"Beverage container" means a plastic vessel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made of polyethylene terephthalate and has the plastic resin symbol 1 as described by Section 369.002(d);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hermetically sealed or capped;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contains a beverage at the time it is sold or offered for sale.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"Consumer" means a person who purchases or receives for the person's own use or consumption a beverage container, single-use bag, or single-use cup.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"Council" means the Texas Clean and Healthy Advisory Council.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"Eligible material" means a beverage container, single-use bag, single-use cup, plastic film or wrap or other flexible plastic packaging, or other material subject to a fee and eligible for a rebate under this chapter.  The term does not include a beverage container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capacity of more than one gallon;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medical food or infant formula.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"Medical food" means a food or beverage that is formulated to be consumed or administered under the supervision of a physician and that is intended for specific dietary management of diseases or health conditions for which distinctive nutritional requirements, based on recognized scientific principles, are established by medical evaluation.  The term also includes any product that meets the definition of "medical food" under Section 5(b)(3), the Federal Food, Drug, and Cosmetic Act (21 U.S.C. Section 360ee).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"Processor" means an entity that sells eligible material to a recycler, material recovery facility, or baling center.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"Program" means the Texas clean and healthy program.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"Rebate" means a payment by a rebate center under Section 375.0402 to a person who presents eligible material at the rebate center.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"Rebate center" means an operation approved by the council to accept eligible material and issue a cash rebate or a redeemable credit slip with a value not less than the material's rebate value.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"Recycler" means an entity that purchases eligible material from a processor for the purposes of recycling.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"Retailer" means a person who sells or provides to a consumer a beverage container, single-use bag, or single-use cup. The term includes the owner or operator of a beverage vending machine.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"Rural area" means an area that is not designated as urbanized by the Bureau of the Census or under rules adopted by the comptroller.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"Single-use bag" means a bag provided by a business establishment to a consumer at the point of sale for the purpose of transporting a purchase.  The term does not include a carryout bag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specifically designed and manufactured to be used multiple times;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displays highly visible language on the exterior of the bag describing the bag's ability to be reused and recycled;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handle;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constructed out of cloth or other durable materials whether woven or nonwoven.</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"Single-use cup" means a cup made of plastic, including polystyrene, paper, or laminate material used to contain a beverage purchased from a retailer.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"Urban area" means an area that is designated as urbanized by the Bureau of the Census or under rules adopted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375.0102.</w:t>
      </w:r>
      <w:r>
        <w:rPr>
          <w:u w:val="single"/>
        </w:rPr>
        <w:t xml:space="preserve"> </w:t>
      </w:r>
      <w:r>
        <w:rPr>
          <w:u w:val="single"/>
        </w:rPr>
        <w:t xml:space="preserve"> </w:t>
      </w:r>
      <w:r>
        <w:rPr>
          <w:u w:val="single"/>
        </w:rPr>
        <w:t xml:space="preserve">ADMINISTRATION AND RULES.  (a)  The comptroller shall administer the program with the advice of the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program,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rebate centers under Section 375.0401;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enforce compliance with the provisions of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and implement a marketing plan to provide information and educate consumers about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and maintain a publicly accessible Internet website to provide information about the program, including the location of rebate centers;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a system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approval of rebate centers and processors;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reimbursement of deposits and rebates and for distribution of handling fees;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 a system for monitoring the amount of eligible material sold by retailers and the amount of eligible material returned to rebate centers;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 a system to prevent fraudulent use of the program;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administer the fund as provided by Section 375.0303;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adopt procedures and forms necessary to implement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consultation with the council, the comptroller may adopt rules necessary to implement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delegate to the council duties described by Subsection (b) to the extent authorized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375.0103.</w:t>
      </w:r>
      <w:r>
        <w:rPr>
          <w:u w:val="single"/>
        </w:rPr>
        <w:t xml:space="preserve"> </w:t>
      </w:r>
      <w:r>
        <w:rPr>
          <w:u w:val="single"/>
        </w:rPr>
        <w:t xml:space="preserve"> </w:t>
      </w:r>
      <w:r>
        <w:rPr>
          <w:u w:val="single"/>
        </w:rPr>
        <w:t xml:space="preserve">REPORT TO LEGISLATURE.  Not later than December 1st of each even-numbered year, the comptroller shall deliver a report to the lieutenant governor, the speaker of the house of representatives, and the committee in each house of the legislature that has primary jurisdiction over environmental matters about the progress and success of the program.</w:t>
      </w:r>
    </w:p>
    <w:p w:rsidR="003F3435" w:rsidRDefault="0032493E">
      <w:pPr>
        <w:spacing w:line="480" w:lineRule="auto"/>
        <w:jc w:val="center"/>
      </w:pPr>
      <w:r>
        <w:rPr>
          <w:u w:val="single"/>
        </w:rPr>
        <w:t xml:space="preserve">SUBCHAPTER B.  TEXAS CLEAN AND HEALTHY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375.0201.</w:t>
      </w:r>
      <w:r>
        <w:rPr>
          <w:u w:val="single"/>
        </w:rPr>
        <w:t xml:space="preserve"> </w:t>
      </w:r>
      <w:r>
        <w:rPr>
          <w:u w:val="single"/>
        </w:rPr>
        <w:t xml:space="preserve"> </w:t>
      </w:r>
      <w:r>
        <w:rPr>
          <w:u w:val="single"/>
        </w:rPr>
        <w:t xml:space="preserve">TEXAS CLEAN AND HEALTHY ADVISORY COUNCIL.  (a)  The council is formed to advise the comptroller in administering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consists of 17 members appointed by the comptroller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producer of beverage containers;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producer of single-use bags;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producer of single-use cups;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retailer who sells beverage containers;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retailer who uses single-use bags;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retailer who uses single-use cups;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processor of beverage containers;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processor of plastic film;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processor of single-use cups;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recycler of beverage containers;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recycler of plastic film;</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recycler of single-use cups;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one representative of the packaging industry that uses recycled material;</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one representative of a rural rebate center;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one representative of an urban rebate center;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one representative of a statewide nonprofit organization devoted to litter prevention; and</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one member of the public.</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To form the initial council, the comptroller shall appoint members as described by Subsection (b) except that the offices for the representatives described by Subsections (b)(14) and (15) must remain vacant until one or more rural rebate centers and urban rebate centers are formed and operating.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serve staggered terms of two years with eight or nine members' terms, as applicable, expiring February 1 of each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members shall designate one member of the council to serve as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375.0202.</w:t>
      </w:r>
      <w:r>
        <w:rPr>
          <w:u w:val="single"/>
        </w:rPr>
        <w:t xml:space="preserve"> </w:t>
      </w:r>
      <w:r>
        <w:rPr>
          <w:u w:val="single"/>
        </w:rPr>
        <w:t xml:space="preserve"> </w:t>
      </w:r>
      <w:r>
        <w:rPr>
          <w:u w:val="single"/>
        </w:rPr>
        <w:t xml:space="preserve">COUNCIL DUTIES.  The council shall make recommendations to the comptroller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additional materials eligible for inclusion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paid by consumers for eligible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changes to the value of the rebate paid to consumers for eligible material;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standards for rebate centers;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changes to the value of the handling fee paid to processors;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establishment of a system for approving processors;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establishment of a system for approving recyclers;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education of consumers, rebate centers, processors, and recyclers about the program;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eligibility criteria for program development grants;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establishment of standards for eligible material that contains postconsumer recycled content.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375.0203.</w:t>
      </w:r>
      <w:r>
        <w:rPr>
          <w:u w:val="single"/>
        </w:rPr>
        <w:t xml:space="preserve"> </w:t>
      </w:r>
      <w:r>
        <w:rPr>
          <w:u w:val="single"/>
        </w:rPr>
        <w:t xml:space="preserve"> </w:t>
      </w:r>
      <w:r>
        <w:rPr>
          <w:u w:val="single"/>
        </w:rPr>
        <w:t xml:space="preserve">DELEGATION OF COUNCIL DUTIES.  The comptroller may delegate council duties to a cooperative organization or commodity board that the comptroller determines represents retailers, processors, and recyclers of eligible material.  An entity designated under this section may retain money from the fund established under Section 375.0303 to administer and manage the program, as determined by the comptroller.</w:t>
      </w:r>
    </w:p>
    <w:p w:rsidR="003F3435" w:rsidRDefault="0032493E">
      <w:pPr>
        <w:spacing w:line="480" w:lineRule="auto"/>
        <w:jc w:val="center"/>
      </w:pPr>
      <w:r>
        <w:rPr>
          <w:u w:val="single"/>
        </w:rPr>
        <w:t xml:space="preserve">SUBCHAPTER C.  COLLECTION OF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375.0301.</w:t>
      </w:r>
      <w:r>
        <w:rPr>
          <w:u w:val="single"/>
        </w:rPr>
        <w:t xml:space="preserve"> </w:t>
      </w:r>
      <w:r>
        <w:rPr>
          <w:u w:val="single"/>
        </w:rPr>
        <w:t xml:space="preserve"> </w:t>
      </w:r>
      <w:r>
        <w:rPr>
          <w:u w:val="single"/>
        </w:rPr>
        <w:t xml:space="preserve">COLLECTION OF FEE BY RETAILER; EXCEPTIONS.  (a)  Except as provided by Subsections (b), (c), and (d), a retailer shall collect a fee of one cent from a consumer for each item of eligible material that the retailer sells or distributes to the consumer.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retailer is not required to collect a fee for a single-use bag, a single-use cup, or a beverage container if the retailer pays to the comptroller an amount that is equivalent to the fees that would be collected for 95 percent of the single-use bags, single-use cups, or beverage containers purchased by the retailer for sale or distribution to consumers.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retailer may not collect a fee from a consumer under this chapter if the consumer demonstrates that the consumer receives assistance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supplemental nutrition assistance program established under Chapter 33,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federal special supplemental nutrition program for women, infants, and children authorized by 42 U.S.C. Section 1786;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food assistance program recognized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suspend the collection of a fee under this chapter during a state of disaster declared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president of the United States under the Robert T. Stafford Disaster Relief and Emergency Assistance Act (42 U.S.C. Section 5121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under Section 418.014, Government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presiding officer of the governing body of a political subdivision under Section 418.108,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375.0302.</w:t>
      </w:r>
      <w:r>
        <w:rPr>
          <w:u w:val="single"/>
        </w:rPr>
        <w:t xml:space="preserve"> </w:t>
      </w:r>
      <w:r>
        <w:rPr>
          <w:u w:val="single"/>
        </w:rPr>
        <w:t xml:space="preserve"> </w:t>
      </w:r>
      <w:r>
        <w:rPr>
          <w:u w:val="single"/>
        </w:rPr>
        <w:t xml:space="preserve">REMITTANCE OF FEES BY RETAILER.  A retailer shall remit to the comptroller the fees collected by the retailer under Section 375.0301.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375.0303.</w:t>
      </w:r>
      <w:r>
        <w:rPr>
          <w:u w:val="single"/>
        </w:rPr>
        <w:t xml:space="preserve"> </w:t>
      </w:r>
      <w:r>
        <w:rPr>
          <w:u w:val="single"/>
        </w:rPr>
        <w:t xml:space="preserve"> </w:t>
      </w:r>
      <w:r>
        <w:rPr>
          <w:u w:val="single"/>
        </w:rPr>
        <w:t xml:space="preserve">TEXAS CLEAN AND HEALTHY PROGRAM FUND.  (a)  The Texas clean and healthy program fund is a special fund in the treasury outside the general revenue fund.  Section 404.071, Government Code, does not apply to the fund.  Interest earned and other earnings on the investment of money in the fund are credited to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collected under this chapter and money collected under Section 375.0301(b) shall be deposited to the credit of the Texas clean and healthy program fund maintained by the comptroller.  Money in the fund may be allocated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reimbursements and handling fees paid to rebate centers or processors,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administration of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provision of information and education of consumers about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purposes authorized under this chapter.</w:t>
      </w:r>
    </w:p>
    <w:p w:rsidR="003F3435" w:rsidRDefault="0032493E">
      <w:pPr>
        <w:spacing w:line="480" w:lineRule="auto"/>
        <w:jc w:val="center"/>
      </w:pPr>
      <w:r>
        <w:rPr>
          <w:u w:val="single"/>
        </w:rPr>
        <w:t xml:space="preserve">SUBCHAPTER D. REBATE CENTERS AND HANDLING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375.0401.</w:t>
      </w:r>
      <w:r>
        <w:rPr>
          <w:u w:val="single"/>
        </w:rPr>
        <w:t xml:space="preserve"> </w:t>
      </w:r>
      <w:r>
        <w:rPr>
          <w:u w:val="single"/>
        </w:rPr>
        <w:t xml:space="preserve"> </w:t>
      </w:r>
      <w:r>
        <w:rPr>
          <w:u w:val="single"/>
        </w:rPr>
        <w:t xml:space="preserve">ESTABLISHMENT OF REBATE CENTER.  (a)  Subject to Subsection (b), any person may establish, own, and operate a rebate center at which empty eligible material may be returned for rebate value.  A rebate center may be located in another business or engage in other forms of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must file an application for approval of a rebate center with the council.  The application must provide any information the comptroller requires as necessary or convenient for the implementation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provide for expedited review and approval of applications for rebate centers associated with a school, school district, or disadvantaged community, including a community without collection systems for eligible material.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at any time may review its approval of a rebate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375.0402.</w:t>
      </w:r>
      <w:r>
        <w:rPr>
          <w:u w:val="single"/>
        </w:rPr>
        <w:t xml:space="preserve"> </w:t>
      </w:r>
      <w:r>
        <w:rPr>
          <w:u w:val="single"/>
        </w:rPr>
        <w:t xml:space="preserve"> </w:t>
      </w:r>
      <w:r>
        <w:rPr>
          <w:u w:val="single"/>
        </w:rPr>
        <w:t xml:space="preserve">REBATE FOR ELIGIBLE MATERIAL.  (a)  Except as provided by Subsection (b), and subject to any additional antifraud requirements developed by the comptroller under Section 375.0102(b)(7), a rebate center shall accept eligible material and shall pay the rebate value of the material established by Section 375.0403 in cash, check, or, if permitted by rule, voucher to the person presenting the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rebate center may refuse to accept eligible material for rebate for reasons established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375.0403.</w:t>
      </w:r>
      <w:r>
        <w:rPr>
          <w:u w:val="single"/>
        </w:rPr>
        <w:t xml:space="preserve"> </w:t>
      </w:r>
      <w:r>
        <w:rPr>
          <w:u w:val="single"/>
        </w:rPr>
        <w:t xml:space="preserve"> </w:t>
      </w:r>
      <w:r>
        <w:rPr>
          <w:u w:val="single"/>
        </w:rPr>
        <w:t xml:space="preserve">REBATE VALUE.  All eligible material distributed, sold, or offered for sale in this state has a rebate value of 25 cents per pound or a value set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375.0404.</w:t>
      </w:r>
      <w:r>
        <w:rPr>
          <w:u w:val="single"/>
        </w:rPr>
        <w:t xml:space="preserve"> </w:t>
      </w:r>
      <w:r>
        <w:rPr>
          <w:u w:val="single"/>
        </w:rPr>
        <w:t xml:space="preserve"> </w:t>
      </w:r>
      <w:r>
        <w:rPr>
          <w:u w:val="single"/>
        </w:rPr>
        <w:t xml:space="preserve">REIMBURSEMENT OF REBATE CENTER.  On submission of a completed invoice of rebates paid by a rebate center on a form adopted by the comptroller, the comptroller shall pay to the rebate center an amount equal to the rebate value established by Section 375.0403 plus a handling fee,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375.0405.</w:t>
      </w:r>
      <w:r>
        <w:rPr>
          <w:u w:val="single"/>
        </w:rPr>
        <w:t xml:space="preserve"> </w:t>
      </w:r>
      <w:r>
        <w:rPr>
          <w:u w:val="single"/>
        </w:rPr>
        <w:t xml:space="preserve"> </w:t>
      </w:r>
      <w:r>
        <w:rPr>
          <w:u w:val="single"/>
        </w:rPr>
        <w:t xml:space="preserve">HANDLING FEE TO PROCESSORS.  (a)  The comptroller shall pay to an approved processor a handling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60 cents per pound of eligible material processed in an urban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90 cents per pound of eligible material processed in a rural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adjust the rates provided by Subsection (a) as necessary to reflect changes in market conditions.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receive payment under this section, a processor must submit to the comptroller a report demonstrating the processed material was sold for recycling.  Information contained in the report submitted under this section is confidential and may not be disclosed by the comptroller unless required by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processor may engage in other forms of business, including the operation of a rebate center.</w:t>
      </w:r>
    </w:p>
    <w:p w:rsidR="003F3435" w:rsidRDefault="0032493E">
      <w:pPr>
        <w:spacing w:line="480" w:lineRule="auto"/>
        <w:jc w:val="center"/>
      </w:pPr>
      <w:r>
        <w:rPr>
          <w:u w:val="single"/>
        </w:rPr>
        <w:t xml:space="preserve">SUBCHAPTER E.  OTHER PROGRAMS AND RELATED 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375.0501.</w:t>
      </w:r>
      <w:r>
        <w:rPr>
          <w:u w:val="single"/>
        </w:rPr>
        <w:t xml:space="preserve"> </w:t>
      </w:r>
      <w:r>
        <w:rPr>
          <w:u w:val="single"/>
        </w:rPr>
        <w:t xml:space="preserve"> </w:t>
      </w:r>
      <w:r>
        <w:rPr>
          <w:u w:val="single"/>
        </w:rPr>
        <w:t xml:space="preserve">LITTER ENFORCEMENT AND EDUCATION GRANT PROGRAM AND ACCOUNT.  (a)  The litter enforcement and education grant program is established to provide grants to counties to develop and implement litter and illegal dumping abatement and enforcement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grant program established by this section is administered by the comptroller.  The comptroller may partner with or designate a statewide litter prevention nonprofit organization to administer the program established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litter enforcement and education account is an account in the Texas clean and healthy program fund established by Section 375.0303.  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from the program allocated by the comptroller;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and other earnings on the investment of money in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account may be appropriated only to award grants to counties as provided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develop an application process for the submission by counties of applications to receive grants provided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issue to a county receiving a grant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$100,000 per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every 500,000 persons residing in the county, an additional $100,000 per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Grants awarded by the comptroller under this section may be used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abatement and enforcement of violations of Chapters 341, 343, and 365 of this code and Chapter 7, Water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establishment and management of litter control, solid waste management, or recycling systems;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support of litter prevention, solid waste management, and recycling education programs.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county receiving a grant under the program may coordinate with the appropriate council of government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personnel to administer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training programs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375.0502.</w:t>
      </w:r>
      <w:r>
        <w:rPr>
          <w:u w:val="single"/>
        </w:rPr>
        <w:t xml:space="preserve"> </w:t>
      </w:r>
      <w:r>
        <w:rPr>
          <w:u w:val="single"/>
        </w:rPr>
        <w:t xml:space="preserve"> </w:t>
      </w:r>
      <w:r>
        <w:rPr>
          <w:u w:val="single"/>
        </w:rPr>
        <w:t xml:space="preserve">PROGRAM DEVELOPMENT GRANT ACCOUNT.  (a)  The program development grant account is an account in the Texas clean and healthy program fund established by Section 375.0303. Section 404.071, Government Code, does not apply to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 any available funds appropriated for the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program development grant account shall be used to provide grants for the construction of rebate centers.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and the program development grant account is abolished September 1, 2027.</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375.0503.</w:t>
      </w:r>
      <w:r>
        <w:rPr>
          <w:u w:val="single"/>
        </w:rPr>
        <w:t xml:space="preserve"> </w:t>
      </w:r>
      <w:r>
        <w:rPr>
          <w:u w:val="single"/>
        </w:rPr>
        <w:t xml:space="preserve"> </w:t>
      </w:r>
      <w:r>
        <w:rPr>
          <w:u w:val="single"/>
        </w:rPr>
        <w:t xml:space="preserve">PUBLIC HEALTH EMERGENCY ACCOUNT.  (a)  The public health emergency account is an account in the Texas clean and healthy program fund established by Section 375.0303.  Section 404.071, Government Code, does not apply to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balance of program money not allocated to the litter enforcement and education grant program established by Section 375.0501 or another purpose provided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and other earnings on the investment of money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disburse money in the account to assist prevention, mitigation, or recovery programs related to public health emergency declarations.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balance of the account may not exceed $1 billion.  </w:t>
      </w:r>
      <w:r>
        <w:rPr>
          <w:u w:val="single"/>
        </w:rPr>
        <w:t xml:space="preserve">Any amount, including interest earned, in excess of $1 billion shall be deposited to the credit of the Texas clean and healthy program fund established by Section 375.0303.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September 1, 2022, the comptroller of public accounts shall appoint members of the Texas Clean and Healthy Advisory Council and, after consultation with the Texas Clean and Healthy Advisory Council, shall adopt any rules necessary to implement Chapter 375, Health and Safety Code, as added by this Act.</w:t>
      </w:r>
    </w:p>
    <w:p w:rsidR="003F3435" w:rsidRDefault="0032493E">
      <w:pPr>
        <w:spacing w:line="480" w:lineRule="auto"/>
        <w:ind w:firstLine="720"/>
        <w:jc w:val="both"/>
      </w:pPr>
      <w:r>
        <w:t xml:space="preserve">(b)</w:t>
      </w:r>
      <w:r xml:space="preserve">
        <w:t> </w:t>
      </w:r>
      <w:r xml:space="preserve">
        <w:t> </w:t>
      </w:r>
      <w:r>
        <w:t xml:space="preserve">The requirements of Chapter 375, Health and Safety Code, as added by this Act, do not apply to any person before March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