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87R19179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4030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4030:</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4030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w:rPr>
          <w:strike/>
        </w:rPr>
        <w:t xml:space="preserve">, including the name and address of any 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the issuance of a provisional permit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processing time for license applications has not exceeded 21 days in any month in the preceding 90 days before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January 1, 2021, to general property and casualty insurance agent licenses. Licensees must comply with all requirements of the converted license to keep the license active and in good standing. Any insurance services representative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January 1, 2021, to general life and health agent licenses. Converted licensees must comply with all requirements of the converted license to keep the license active and in good standing. Any life and health insurance counselor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