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H.B.</w:t>
      </w:r>
      <w:r xml:space="preserve">
        <w:t> </w:t>
      </w:r>
      <w:r>
        <w:t xml:space="preserve">No.</w:t>
      </w:r>
      <w:r xml:space="preserve">
        <w:t> </w:t>
      </w:r>
      <w:r>
        <w:t xml:space="preserve">4031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municipalities to establish homestead preservation districts and reinvestment zones.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373A.003,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This chapter applies to a municipality with a population of more than 750,000 that is located in a uniform state service region with fewer than </w:t>
      </w:r>
      <w:r>
        <w:rPr>
          <w:u w:val="single"/>
        </w:rPr>
        <w:t xml:space="preserve">850,000</w:t>
      </w:r>
      <w:r>
        <w:t xml:space="preserve"> [</w:t>
      </w:r>
      <w:r>
        <w:rPr>
          <w:strike/>
        </w:rPr>
        <w:t xml:space="preserve">550,000</w:t>
      </w:r>
      <w:r>
        <w:t xml:space="preserve">] occupied housing units as determined by the most recent United States decennial census.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this chapter applies to a municipality as provided by Subsection (a), the application of this chapter to the municipality is not affected if the municipality's population or number of occupied housing units changes and the municipality no longer meets the population requirement of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