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87R8329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32.028, Human Resources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Notwithstanding any other provision of this section or other law, the executive commissioner shall ensure that the rules governing the determination of rates paid to a medical assistance provider are at least equal to the rates paid under Medicare for the provision of the same or substantially similar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requirements specified by Subsection (a) and notwithstanding any other law, a contract described by that subsection must require the managed care organization to reimburse a provider who is in the organization's provider network and who provides health care services to a recipient at a rate that is at least equal to the rate paid under Medicare for the provision of the same or substantially similar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533.005(f),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533.005(f), Government Code, as added by this Act.  To the extent of a conflict between Section 533.005(f), Government Code, as added by this Act,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