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87R8329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4035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reimbursement rates.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32.028, Human Resources Code, is amended by adding Subsection (o) to read as follows: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Notwithstanding any other provision of this section or other law, the executive commissioner shall ensure that the rules governing the determination of rates paid to a medical assistance provider are at least equal to the rates paid under Medicare for the provision of the same or substantially similar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requirements specified by Subsection (a) and notwithstanding any other law, a contract described by that subsection must require the managed care organization to reimburse a provider who is in the organization's provider network and who provides health care services to a recipient at a rate that is at least equal to the rate paid under Medicare for the provision of the same or substantially similar service.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533.005(f),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533.005(f), Government Code, as added by this Act.  To the extent of a conflict between Section 533.005(f), Government Code, as added by this Act,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