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87R13987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4040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certain benefits under Medicaid, including the coordination of private health benefits, and to reimbursement for some of those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533.038(g),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 shall develop a clear and easy process, to be implemented through a contract, that allows a recipient with complex medical needs</w:t>
      </w:r>
      <w:r>
        <w:rPr>
          <w:u w:val="single"/>
        </w:rPr>
        <w:t xml:space="preserve">, regardless of whether the recipient has primary health benefit plan coverage,</w:t>
      </w:r>
      <w:r>
        <w:t xml:space="preserve"> who has established a relationship with a specialty provider to continue receiving care from that provider.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531.0601(f), Government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