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87R13056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suicide prevention policy in residential child-care facilities and child-placing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42.0433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42.0433.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PREVENTION, INTERVENTION, AND POSTVENTION PLAN.  (a)  In this section, "postvention" has the meaning assigned by Section 38.351,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by rule shall adopt a model suicide prevention, intervention, and postvention policy for use by a residential child-care facility.  The model policy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based on current and best evidence-based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all employees of the facility to receive annual suicide prevention training that includes understanding of safety planning and screening for risk;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suicide prevention training for non-employee entities, as appropriate;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procedures to support children who return to the facility following hospitalization for a mental health condition.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residential child-care facility shall adopt a suicide prevention, intervention, and postvention policy.  A residential child-care facility may adopt: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model policy adopted by the executive commissioner under Subsection (b);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suicide prevention, intervention, and postvention policy approved by the executive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suicide prevention, intervention, and postvention policy adopted under Subsection (c) may be part of a broader mental health crisis plan if the components of the plan include suicide prevention, intervention, and postvention.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provide to a residential child-care facility any technical assistance necessary to adopt or implement a suicide prevention, intervention, and postvention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42.252(c),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operational plan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community engagement plan to develop and, if necessary, improve relations between the general residential operation and the community in which the operation is located that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summary of any discussions the operation had with: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local law enforcement;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local health, therapeutic, and recreational resources available to support children at the operation;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summary of the opportunities the children at the operation will have for social interaction in the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educational plan describing the applicant's plan to provide for the educational needs of the children at the general residential operation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identifies whether the proposed operation will provide for the public or private education of school-age children at the operation;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identifies whether the proposed operation will provide for the education of school-age children through a local school, off-site charter school, or on-site charter school;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includes any discussions, plans, and agreements with the local school district, private school, or local charter school that will be providing education to the school-age children at the operation;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the children are to be enrolled in a public school, includes either: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statement from the local independent school district on the impact of the proposed child-care services on the local school district;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 explanation of the reasons the operation was unable to obtain a statement described by Subparagraph (i) and a discussion of other alternative educational services that the operation could offer;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trauma-informed plan to address unauthorized absences of children from the general residential operation;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rPr>
          <w:u w:val="single"/>
        </w:rPr>
        <w:t xml:space="preserve">a suicide prevention, intervention, and postvention plan that meets the requirements of Section 42.0433;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the qualifications, background, and history, including any compliance history, of each individual who is proposed to be involved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management of the operation;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educational leadership of the operation if the operation will be using an on-site charter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July 1, 2022, the executive</w:t>
      </w:r>
      <w:r xml:space="preserve">
        <w:t> </w:t>
      </w:r>
      <w:r>
        <w:t xml:space="preserve">commissioner of the Health and Human Services Commission shall</w:t>
      </w:r>
      <w:r xml:space="preserve">
        <w:t> </w:t>
      </w:r>
      <w:r>
        <w:t xml:space="preserve">adopt the model suicide prevention, intervention, and postvention policy required by Section 42.0433, Human Resources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