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4043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participate in interscholastic athletic activities based on biological sex, including a report regarding university athletic participation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INTERSCHOLASTIC ATHLETIC PARTICIPATION BASED ON BIOLOGICAL SEX.  (a)  Except as provided by Subsection (b), an interscholastic athletic team sponsored or authorized by a school district or open-enrollment charter school may not allow a student to participate in an interscholastic athletic activity sponsored or authorized by the district or school that is designated for the biological sex opposite to the student's biological sex as determined at the student's birth and correctly stated on the student's official birth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participate in an interscholastic athletic activity that is designated for male students if a corresponding interscholastic athletic activity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as determined at the student's birth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as determined by University Interscholastic League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w:t>
      </w:r>
      <w:r>
        <w:t xml:space="preserve">amended by adding Section 51.980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51.980.</w:t>
      </w:r>
      <w:r>
        <w:rPr>
          <w:u w:val="single"/>
        </w:rPr>
        <w:t xml:space="preserve"> </w:t>
      </w:r>
      <w:r>
        <w:rPr>
          <w:u w:val="single"/>
        </w:rPr>
        <w:t xml:space="preserve"> </w:t>
      </w:r>
      <w:r>
        <w:rPr>
          <w:u w:val="single"/>
        </w:rPr>
        <w:t xml:space="preserve">REPORT ON UNIVERSITY ATHLETIC PARTICIPATION BASED ON BIOLOGICAL SEX.  (a)  A university system found in Chapter 65, 85, 96, or 109 shall create a report regarding how university athletics and participation may be affected in their university systems if the legislature adopted a similar provision to Section 33.0832 for university athletics.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2022, the university systems shall submit their reports to the governor, lieutenant governor, and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33, Education Code as added by 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