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87R24267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4047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4047:</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4047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health care providers to enter certain claims and other information into the Medicaid electronic visit verification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(e),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managed care organizations that contract with the commission to provide health care services to Medicaid recipients and across commission programs;</w:t>
      </w:r>
    </w:p>
    <w:p w:rsidR="003F3435" w:rsidRDefault="0032493E">
      <w:pPr>
        <w:spacing w:line="480" w:lineRule="auto"/>
        <w:ind w:firstLine="2160"/>
        <w:jc w:val="both"/>
      </w:pPr>
      <w:r>
        <w:t xml:space="preserve">(B)</w:t>
      </w:r>
      <w:r xml:space="preserve">
        <w:t> </w:t>
      </w:r>
      <w:r xml:space="preserve">
        <w:t> </w:t>
      </w:r>
      <w:r>
        <w:t xml:space="preserve">processes required by managed care organizations to retrospectively correct data are standardized and publicly accessible to health care providers;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managed care organization to provide a timely authorization for delivering services necessary to ensure continuity of care</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health care provider is allowed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enter a variable schedule into the electronic visit verification system;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complete electronic visit verification system data maintenance within the 95-day period following the date of a service delivery visit;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submit a claim to be reimbursed for an amount of time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does not exceed the amount of authorized hours unless the additional hours are approved by the commission or the managed care organization;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equal to or less than the appropriately verified amount of time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