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w:t xml:space="preserve"> (Senate Sponsor</w:t>
      </w:r>
      <w:r xml:space="preserve">
        <w:t> </w:t>
      </w:r>
      <w:r>
        <w:t xml:space="preserve">-</w:t>
      </w:r>
      <w:r xml:space="preserve">
        <w:t> </w:t>
      </w:r>
      <w:r>
        <w:t xml:space="preserve">Johnson)</w:t>
      </w:r>
      <w:r xml:space="preserve">
        <w:tab wTab="150" tlc="none" cTlc="0"/>
      </w:r>
      <w:r>
        <w:t xml:space="preserve">H.B.</w:t>
      </w:r>
      <w:r xml:space="preserve">
        <w:t> </w:t>
      </w:r>
      <w:r>
        <w:t xml:space="preserve">No.</w:t>
      </w:r>
      <w:r xml:space="preserve">
        <w:t> </w:t>
      </w:r>
      <w:r>
        <w:t xml:space="preserve">4048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2021; May</w:t>
      </w:r>
      <w:r xml:space="preserve">
        <w:t> </w:t>
      </w:r>
      <w:r>
        <w:t xml:space="preserve">12,</w:t>
      </w:r>
      <w:r xml:space="preserve">
        <w:t> </w:t>
      </w:r>
      <w:r>
        <w:t xml:space="preserve">2021, read first time and referred to Committee on Health &amp; Human Services; May</w:t>
      </w:r>
      <w:r xml:space="preserve">
        <w:t> </w:t>
      </w:r>
      <w:r>
        <w:t xml:space="preserve">20,</w:t>
      </w:r>
      <w:r xml:space="preserve">
        <w:t> </w:t>
      </w:r>
      <w:r>
        <w:t xml:space="preserve">2021, reported favorably by the following vote:</w:t>
      </w:r>
      <w:r>
        <w:t xml:space="preserve"> </w:t>
      </w:r>
      <w:r>
        <w:t xml:space="preserve"> </w:t>
      </w:r>
      <w:r>
        <w:t xml:space="preserve">Yeas 8, Nays 0; May</w:t>
      </w:r>
      <w:r xml:space="preserve">
        <w:t> </w:t>
      </w:r>
      <w:r>
        <w:t xml:space="preserve">20,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an advanced practice registered nurse or physician assistant regarding death certificates.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193.005(a),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required to file a death certificate or fetal death certificate shall obtain the required medical certification from the decedent's attending physician, or[</w:t>
      </w:r>
      <w:r>
        <w:rPr>
          <w:strike/>
        </w:rPr>
        <w:t xml:space="preserve">, subject to Subsection (a-1),</w:t>
      </w:r>
      <w:r>
        <w:t xml:space="preserve">] a physician assistant or advanced practice registered nurse of the decedent, if the death occurred under the care of the person in connection with the treatment of the condition or disease process that contributed to the death.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193.005(a-1), Health and Safety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