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87R11162 MWC-D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Meza</w:t>
      </w:r>
      <w:r xml:space="preserve">
        <w:tab wTab="150" tlc="none" cTlc="0"/>
      </w:r>
      <w:r>
        <w:t xml:space="preserve">H.B.</w:t>
      </w:r>
      <w:r xml:space="preserve">
        <w:t> </w:t>
      </w:r>
      <w:r>
        <w:t xml:space="preserve">No.</w:t>
      </w:r>
      <w:r xml:space="preserve">
        <w:t> </w:t>
      </w:r>
      <w:r>
        <w:t xml:space="preserve">4059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tenant's right to terminate a residential lease following certain outages of essential utilities.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92, Property Code, is amended by adding Section 92.0521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92.0521.</w:t>
      </w:r>
      <w:r>
        <w:rPr>
          <w:u w:val="single"/>
        </w:rPr>
        <w:t xml:space="preserve"> </w:t>
      </w:r>
      <w:r>
        <w:rPr>
          <w:u w:val="single"/>
        </w:rPr>
        <w:t xml:space="preserve"> </w:t>
      </w:r>
      <w:r>
        <w:rPr>
          <w:u w:val="single"/>
        </w:rPr>
        <w:t xml:space="preserve">RIGHT TO VACATE AND AVOID LIABILITY FOLLOWING OUTAGE OF ESSENTIAL UTILITY.  (a)  In this section, "essential utility" means: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electricity;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air conditioning;</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heat;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natural gas;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water.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and except as provided by Subsection (c), a tenant of a dwelling that does not have an essential utility due to an outage caused directly or indirectly by severe weather conditions may terminate the tenant's lease, vacate the dwelling, and avoid liability for future rent and any other sums due under the lease for terminating the lease and vacating the dwelling before the end of the lease term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tenant notifies the landlord in writing of the interruption of the essential utility;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essential utility has not been restored before 48 hours after the tenant notified the landlord;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tenant notifies the landlord in writing of the tenant's intent to immediately terminate the lease because the essential utility was not restored.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does not apply during the period a dwelling does not have an essential utility because a utility service provider intentionally interrupted provision of a utility service.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does not affect the obligations or liability of the tenant under the lease before the lease is terminated under this section, including the liability of the tenant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delinquent, unpaid rent;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damages to the leased premises not caused by normal wear and tear.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92.0521, Property Code, as added by this Act, applies only to a lease agreement entered into or renewed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January 1, 2022.</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4059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