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87R19817 YDB-F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Lucio III, Deshotel, Raymond,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Hunter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Paddie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4071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for the purchase of endpoint devices by a state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N-1, Chapter 2054, Government Code, is amended by adding Section 2054.5193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2054.5193.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ENDPOINT DEVICE CYBERSECURITY.  (a)  In this section, "endpoint device" has the meaning assigned by Section 2157.201.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compile a list of endpoint devices that are approved for purchase by a state agency. An approved endpoint device must meet cybersecurity industry-recognized standards and best practices established by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update any list of approved endpoint devices the department issues under Subsection (b) not later than the first anniversary of the date the department amends a standard established by the department under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2157, Government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ENDPOINT SECURITY DEVICE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2157.201.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"Endpoint device" means personal computing goods and multi-functional devices.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"Multi-functional device" includes computer imaging devices that perform at least two of the following functions: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printing;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copying;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scanning;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faxing.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"Personal computing goods" includes desktop computers, laptop computers, all-in-one computers, tablet computers, thin client computers, wireless communication devices, computer monitors, and associated software and network access devices.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agency" means a board, commission, department, office, or other agency in the executive, legislative, or judicial branch of state government that is created by the constitution or a statute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2157.202.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ENDPOINT DEVICE STANDARDS.  (a)  A state agency may purchase or lease an endpoint device only if the device meets the cybersecurity industry-recognized standards and best practices established by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endpoint device included on a list of approved endpoint security devices compiled under Section 2054.5193 satisfies the requirements of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