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87R5826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the purchase of endpoint devices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N-1, Chapter 2054, Government Code, is amended by adding Section 2054.5193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2054.5193.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ENDPOINT DEVICE CYBERSECURITY.  (a)  In this section, "endpoint device" has the meaning assigned by Section 2157.201.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compile a list of endpoint devices that are approved for purchase by a state agency. An approved endpoint device must meet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and best practices for computer security issued by the National Institute of Standards and Technology of the United States Department of Commerce;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cybersecurity framework established by the National Institute of Standards and Technology of the United States Department of Commerce;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supply chain risk management guidelines developed by the United States Department of Homeland Security.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update any list of approved endpoint devices the department issues under Subsection (b) not later than the first anniversary of the date of an amendment to a security standard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2157,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ENDPOINT SECURITY DEVICE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2157.201.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"Endpoint device" means personal computing goods and multi-functional devices.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"Multi-functional device" includes computer imaging devices that perform at least two of the following functions: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printing;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copying;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scanning;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faxing.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"Personal computing goods" includes desktop computers, laptop computers, all-in-one computers, tablet computers, thin client computers, and computer monitors.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means a board, commission, department, office, or other agency in the executive, legislative, or judicial branch of state government that is created by the constitution or a statute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2157.202.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ENDPOINT DEVICE STANDARDS.  (a)  A state agency may purchase or lease an endpoint device only if the device meets the: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and best practices for computer security issued by the National Institute of Standards and Technology of the United States Department of Commerce;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cybersecurity framework established by the National Institute of Standards and Technology of the United States Department of Commerce;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supply chain risk management guidelines developed by the United States Department of Homeland Security.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endpoint device included on a list of approved endpoint security devices compiled under Section 2054.5193 satisfies the requirements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