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87R9809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4075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reserve militia.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431.001(1),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"Reserve militia" means the persons liable to serve </w:t>
      </w:r>
      <w:r>
        <w:rPr>
          <w:u w:val="single"/>
        </w:rPr>
        <w:t xml:space="preserve">under Section 431.073 or who otherwise are willing to serve</w:t>
      </w:r>
      <w:r>
        <w:t xml:space="preserve">, but </w:t>
      </w:r>
      <w:r>
        <w:rPr>
          <w:u w:val="single"/>
        </w:rPr>
        <w:t xml:space="preserve">who are</w:t>
      </w:r>
      <w:r>
        <w:t xml:space="preserve"> not serving, in the state military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431.071, Government Code, is amended to read as follows:</w:t>
      </w:r>
    </w:p>
    <w:p w:rsidR="003F3435" w:rsidRDefault="0032493E">
      <w:pPr>
        <w:spacing w:line="480" w:lineRule="auto"/>
        <w:ind w:firstLine="720"/>
        <w:jc w:val="both"/>
      </w:pPr>
      <w:r>
        <w:t xml:space="preserve">Sec.</w:t>
      </w:r>
      <w:r xml:space="preserve">
        <w:t> </w:t>
      </w:r>
      <w:r>
        <w:t xml:space="preserve">431.071.</w:t>
      </w:r>
      <w:r xml:space="preserve">
        <w:t> </w:t>
      </w:r>
      <w:r xml:space="preserve">
        <w:t> </w:t>
      </w:r>
      <w:r>
        <w:rPr>
          <w:u w:val="single"/>
        </w:rPr>
        <w:t xml:space="preserve">GOVERNOR'S COMMAND;</w:t>
      </w:r>
      <w:r>
        <w:t xml:space="preserve"> MILITARY DUTY.  (a)  </w:t>
      </w:r>
      <w:r>
        <w:rPr>
          <w:u w:val="single"/>
        </w:rPr>
        <w:t xml:space="preserve">The governor shall have sole and direct command over the reserve militia.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w:t>
      </w:r>
      <w:r>
        <w:t xml:space="preserve">  [</w:t>
      </w:r>
      <w:r>
        <w:rPr>
          <w:strike/>
        </w:rPr>
        <w:t xml:space="preserve">The reserve militia is not subject to active military duty, except that the</w:t>
      </w:r>
      <w:r>
        <w:t xml:space="preserve">] governor may call into </w:t>
      </w:r>
      <w:r>
        <w:rPr>
          <w:u w:val="single"/>
        </w:rPr>
        <w:t xml:space="preserve">the</w:t>
      </w:r>
      <w:r>
        <w:t xml:space="preserve"> service </w:t>
      </w:r>
      <w:r>
        <w:rPr>
          <w:u w:val="single"/>
        </w:rPr>
        <w:t xml:space="preserve">of the state for a period not to exceed 90 days all or any</w:t>
      </w:r>
      <w:r>
        <w:t xml:space="preserve"> [</w:t>
      </w:r>
      <w:r>
        <w:rPr>
          <w:strike/>
        </w:rPr>
        <w:t xml:space="preserve">the</w:t>
      </w:r>
      <w:r>
        <w:t xml:space="preserve">] portion of the reserve militia [</w:t>
      </w:r>
      <w:r>
        <w:rPr>
          <w:strike/>
        </w:rPr>
        <w:t xml:space="preserve">needed for the period required</w:t>
      </w:r>
      <w:r>
        <w:t xml:space="preserve">] in case of </w:t>
      </w:r>
      <w:r>
        <w:rPr>
          <w:u w:val="single"/>
        </w:rPr>
        <w:t xml:space="preserve">natural disaster,</w:t>
      </w:r>
      <w:r>
        <w:t xml:space="preserve"> war, insurrection, invasion [</w:t>
      </w:r>
      <w:r>
        <w:rPr>
          <w:strike/>
        </w:rPr>
        <w:t xml:space="preserve">or prevention of invasion</w:t>
      </w:r>
      <w:r>
        <w:t xml:space="preserve">], [</w:t>
      </w:r>
      <w:r>
        <w:rPr>
          <w:strike/>
        </w:rPr>
        <w:t xml:space="preserve">suppression of</w:t>
      </w:r>
      <w:r>
        <w:t xml:space="preserve">] riot, tumult, or breach of peace or to aid civil officers to execute law or serve process.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governor may assign members of the reserve militia who are called into service to existing organizations of the state military forces or organize them as circumstances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by law terminate the period of service established by the governor under Subsection (b).  The governor may request the legislature to authorize an extension of the 90-day period of service under Subsection (b) for a specified time. An extension may be granted only by unanimous vote of each house of the legislature.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431, Government Code, is amended by adding Section 431.0715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431.0715.</w:t>
      </w:r>
      <w:r>
        <w:rPr>
          <w:u w:val="single"/>
        </w:rPr>
        <w:t xml:space="preserve"> </w:t>
      </w:r>
      <w:r>
        <w:rPr>
          <w:u w:val="single"/>
        </w:rPr>
        <w:t xml:space="preserve"> </w:t>
      </w:r>
      <w:r>
        <w:rPr>
          <w:u w:val="single"/>
        </w:rPr>
        <w:t xml:space="preserve">MILITIA MEMBER OATH AND AUTHORITY.  (a)  On being called into service by the governor under Section 431.071, each member of the reserve militia must willingly swear or affirm an oath administered by this state to uphold the constitutions of the United States of America and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may grant law enforcement or military authority only to reserve militia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whom the governor has called into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have taken the oath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reserve militia member may exercise only the law enforcement or military authority granted to the member by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law enforcement or military authority granted to a member of the reserve militia under this section terminates at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governor's rescinding the grant of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period of service expiring or being terminated by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grant under this section only the law enforcement or military authority the governor has under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431.073, Government Code, is amended to read as follows:</w:t>
      </w:r>
    </w:p>
    <w:p w:rsidR="003F3435" w:rsidRDefault="0032493E">
      <w:pPr>
        <w:spacing w:line="480" w:lineRule="auto"/>
        <w:ind w:firstLine="720"/>
        <w:jc w:val="both"/>
      </w:pPr>
      <w:r>
        <w:t xml:space="preserve">Sec.</w:t>
      </w:r>
      <w:r xml:space="preserve">
        <w:t> </w:t>
      </w:r>
      <w:r>
        <w:t xml:space="preserve">431.073.</w:t>
      </w:r>
      <w:r xml:space="preserve">
        <w:t> </w:t>
      </w:r>
      <w:r xml:space="preserve">
        <w:t> </w:t>
      </w:r>
      <w:r>
        <w:t xml:space="preserve">DRAFT</w:t>
      </w:r>
      <w:r>
        <w:rPr>
          <w:u w:val="single"/>
        </w:rPr>
        <w:t xml:space="preserve">; VOLUNTARY SERVICE; ELIGIBILITY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431.073, Government Code, is amended by adding Subsections (a-1)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county emergency board by order may authorize persons to voluntarily appear and report for service in the reserve militia who are otherwise not required to appear and report for service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eligible to serve in the reserve militia if the person is: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convicted of a felony.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431, Government Code, is amended by adding Sections 431.0735 and 431.0736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431.0735.</w:t>
      </w:r>
      <w:r>
        <w:rPr>
          <w:u w:val="single"/>
        </w:rPr>
        <w:t xml:space="preserve"> </w:t>
      </w:r>
      <w:r>
        <w:rPr>
          <w:u w:val="single"/>
        </w:rPr>
        <w:t xml:space="preserve"> </w:t>
      </w:r>
      <w:r>
        <w:rPr>
          <w:u w:val="single"/>
        </w:rPr>
        <w:t xml:space="preserve">RESERVE MILITIA ARMS.  (a)  In this section, "adjutant general" means the military commander of the state military forces.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adjutant general shall designate weapon calibers suitable for reserve militia weapons and, as necessary, update the designations every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designating weapon calibers under this section, the adjutant general shall ensure that the calibers are compatible with calibers used by the armed forces of the United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adjutant general shall ensure state armories possess sufficient amounts of designated ammunition to supply the reserve militia with necessary ammunition during the militia's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take steps to acquire and maintain equipment in the state armories for use by the reserve militia.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as authorizing the possession of a firearm or body armor by a person otherwise prohibited by law from that possession.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431.0736.</w:t>
      </w:r>
      <w:r>
        <w:rPr>
          <w:u w:val="single"/>
        </w:rPr>
        <w:t xml:space="preserve"> </w:t>
      </w:r>
      <w:r>
        <w:rPr>
          <w:u w:val="single"/>
        </w:rPr>
        <w:t xml:space="preserve"> </w:t>
      </w:r>
      <w:r>
        <w:rPr>
          <w:u w:val="single"/>
        </w:rPr>
        <w:t xml:space="preserve">STUDY ON RESERVE MILITIA; TEMPORARY PROVISION. (a) Not later than October 1, 2021, the governor shall establish a commission to study and report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critical skills necessary for the reserve militia;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feasibility of and best practices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training the reserve militia in first aid;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organizing the reserve militia into units;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integration of technology into the operations of the reserve militia.</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recommendations related to the areas of study described by Subsection (a). The commission shall submit its report to the governor not later than July 31,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recommendations made in the report are not binding on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may establish different commissions to study the issues required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December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July 31, 2022, the adjutant general shall designate weapon calibers for the reserve militia as required by Section 431.0735, Government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