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4080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issuance of autism awareness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504, Transportation Code, is amended by adding Section 504.675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504.675.</w:t>
      </w:r>
      <w:r>
        <w:rPr>
          <w:u w:val="single"/>
        </w:rPr>
        <w:t xml:space="preserve"> </w:t>
      </w:r>
      <w:r>
        <w:rPr>
          <w:u w:val="single"/>
        </w:rPr>
        <w:t xml:space="preserve"> </w:t>
      </w:r>
      <w:r>
        <w:rPr>
          <w:u w:val="single"/>
        </w:rPr>
        <w:t xml:space="preserve">AUTISM AWARENESS LICENSE PLATES.  (a) The department shall issue specialty license plates that include the words "Autism Awareness." The department shall design the plates in consultation with a representative of the Hope for Three nonprofit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an account created by the comptroller in the manner provided by Section 504.6012(b). Money deposited to that account may be used only by the trusteed programs within the office of the governor to make grants to a nonprofit organization whose primary purpose is to create awareness about and provide support to families living with autism spectrum disorder, to be used by that organization for that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4080 was passed by the House on May 8, 2021, by the following vote:</w:t>
      </w:r>
      <w:r xml:space="preserve">
        <w:t> </w:t>
      </w:r>
      <w:r xml:space="preserve">
        <w:t> </w:t>
      </w:r>
      <w:r>
        <w:t xml:space="preserve">Yeas 132, Nays 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4080 was passed by the Senate on May 20,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