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4088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human sexuality education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28.0042.</w:t>
      </w:r>
      <w:r>
        <w:rPr>
          <w:u w:val="single"/>
        </w:rPr>
        <w:t xml:space="preserve"> </w:t>
      </w:r>
      <w:r>
        <w:rPr>
          <w:u w:val="single"/>
        </w:rPr>
        <w:t xml:space="preserve"> </w:t>
      </w:r>
      <w:r>
        <w:rPr>
          <w:u w:val="single"/>
        </w:rPr>
        <w:t xml:space="preserve">HUMAN SEXUALITY EDUCATION.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 appropriate" means topics, messages, and teaching methods suitable to particular ages or age groups of children or adolescents, based on developing cognitive, emotional, and behavioral capacity typical for the age or age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"Medically accurate" means supported by peer-reviewed research conducted in compliance with accepted scientific  methods and recognized as accurate by leading professional organizations and agencies with relevant experience, such as the American Medical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provide human sexuality education in accordance with this section at grade levels specified by the State Board of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by rule shall adopt the essential knowledge and skills for medically accurate, age-appropriate curriculum to be used by a school district in providing human sexuality education under this section.  As age appropriate, the curriculum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 human sexuality, pregnancy, and sexually transmitted infections;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discuss human sexuality as a normal and healthy aspect of human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about the health benefits, side effects, and proper use of the methods approved by the United States Food and Drug Administration for preventing unintended pregnancy and reducing the risk of contracting sexually transmitted infections;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promote relationship, communication, and decision-making skills, including strategies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healthy, age-appropriate relationships;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healthy life skills, including critical thinking, problem solving, effective communication, and responsible decision making about sexuality and relationships;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promote effective communication between adolescents and their parents, legal guardians, or other family members about sexuality and relationships.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separate students according to sex when providing instruction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shall make all curriculum materials used in the district's human sexuality education available for reasonable public inspection.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adopt a policy regarding whether condoms may be distributed in connection with human sexuality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shall be excused from human sexuality education on the written request of a parent or legal guardian without being subjected to any disciplinary action, academic penalty, or other sanction imposed by the school district or the student's school.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each school year, a school district shall provide written notice to a parent or legal guardian of each student enrolled in the district of the intent to provide human sexuality education under this section.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basic content of the human sexuality education to be provided to the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policy on the distribution of condoms in connection with human sexuality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or legal guardian's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curriculum materials as provided by Subsection (e);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any part of the district's human sexuality education as provided by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human sexuality education under Section 28.0042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28.004(c), Education Code, as amended by Chapters 331 (S.B. 435), 352 (H.B. 18), and 464 (S.B. 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w:t>
      </w:r>
    </w:p>
    <w:p w:rsidR="003F3435" w:rsidRDefault="0032493E">
      <w:pPr>
        <w:spacing w:line="480" w:lineRule="auto"/>
        <w:ind w:firstLine="2160"/>
        <w:jc w:val="both"/>
      </w:pPr>
      <w:r>
        <w:t xml:space="preserve">(A)</w:t>
      </w:r>
      <w:r xml:space="preserve">
        <w:t> </w:t>
      </w:r>
      <w:r xml:space="preserve">
        <w:t> </w:t>
      </w:r>
      <w:r>
        <w:t xml:space="preserve">health education in kindergarten through grade eight; and</w:t>
      </w:r>
    </w:p>
    <w:p w:rsidR="003F3435" w:rsidRDefault="0032493E">
      <w:pPr>
        <w:spacing w:line="480" w:lineRule="auto"/>
        <w:ind w:firstLine="2160"/>
        <w:jc w:val="both"/>
      </w:pPr>
      <w:r>
        <w:t xml:space="preserve">(B)</w:t>
      </w:r>
      <w:r xml:space="preserve">
        <w:t> </w:t>
      </w:r>
      <w:r xml:space="preserve">
        <w:t> </w:t>
      </w:r>
      <w:r>
        <w:t xml:space="preserve">if the school district requires health education for high school graduation, health education, including physical health education and mental health education, in grades 9 through 12;</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physical health concerns, including obesity, cardiovascular disease, Type 2 diabetes, and mental health concerns, including suicide, through coordination of:</w:t>
      </w:r>
    </w:p>
    <w:p w:rsidR="003F3435" w:rsidRDefault="0032493E">
      <w:pPr>
        <w:spacing w:line="480" w:lineRule="auto"/>
        <w:ind w:firstLine="2160"/>
        <w:jc w:val="both"/>
      </w:pPr>
      <w:r>
        <w:t xml:space="preserve">(A)</w:t>
      </w:r>
      <w:r xml:space="preserve">
        <w:t> </w:t>
      </w:r>
      <w:r xml:space="preserve">
        <w:t> </w:t>
      </w:r>
      <w:r>
        <w:t xml:space="preserve">health education, which must address physical health concerns and mental health concerns to ensure the integration of physical health education and mental 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on substance abuse prevention;</w:t>
      </w:r>
    </w:p>
    <w:p w:rsidR="003F3435" w:rsidRDefault="0032493E">
      <w:pPr>
        <w:spacing w:line="480" w:lineRule="auto"/>
        <w:ind w:firstLine="2160"/>
        <w:jc w:val="both"/>
      </w:pPr>
      <w:r>
        <w:t xml:space="preserve">(F)</w:t>
      </w:r>
      <w:r xml:space="preserve">
        <w:t> </w:t>
      </w:r>
      <w:r xml:space="preserve">
        <w:t> </w:t>
      </w:r>
      <w:r>
        <w:t xml:space="preserve">school health services, including mental health services;</w:t>
      </w:r>
    </w:p>
    <w:p w:rsidR="003F3435" w:rsidRDefault="0032493E">
      <w:pPr>
        <w:spacing w:line="480" w:lineRule="auto"/>
        <w:ind w:firstLine="2160"/>
        <w:jc w:val="both"/>
      </w:pPr>
      <w:r>
        <w:t xml:space="preserve">(G)</w:t>
      </w:r>
      <w:r xml:space="preserve">
        <w:t> </w:t>
      </w:r>
      <w:r xml:space="preserve">
        <w:t> </w:t>
      </w:r>
      <w:r>
        <w:t xml:space="preserve">a comprehensive school counseling program under Section 33.005;</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appropriate grade levels and methods of instruction for human sexuality instruction;</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 including physical health services and mental health services, if provided at a campus by the district or by a third party under a contract with the district;</w:t>
      </w:r>
    </w:p>
    <w:p w:rsidR="003F3435" w:rsidRDefault="0032493E">
      <w:pPr>
        <w:spacing w:line="480" w:lineRule="auto"/>
        <w:ind w:firstLine="2160"/>
        <w:jc w:val="both"/>
      </w:pPr>
      <w:r>
        <w:t xml:space="preserve">(B)</w:t>
      </w:r>
      <w:r xml:space="preserve">
        <w:t> </w:t>
      </w:r>
      <w:r xml:space="preserve">
        <w:t> </w:t>
      </w:r>
      <w:r>
        <w:t xml:space="preserve">a comprehensive school counseling program under Section 33.005;</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if feasible, joint use agreements or strategies for collaboration between the school district and community organizations or agencies; [</w:t>
      </w:r>
      <w:r>
        <w:rPr>
          <w:strike/>
        </w:rPr>
        <w:t xml:space="preserve">and</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strategies to increase parental awareness regarding:</w:t>
      </w:r>
    </w:p>
    <w:p w:rsidR="003F3435" w:rsidRDefault="0032493E">
      <w:pPr>
        <w:spacing w:line="480" w:lineRule="auto"/>
        <w:ind w:firstLine="2160"/>
        <w:jc w:val="both"/>
      </w:pPr>
      <w:r>
        <w:t xml:space="preserve">(A)</w:t>
      </w:r>
      <w:r xml:space="preserve">
        <w:t> </w:t>
      </w:r>
      <w:r xml:space="preserve">
        <w:t> </w:t>
      </w:r>
      <w:r>
        <w:t xml:space="preserve">risky behaviors and early warning signs of suicide risks and behavioral health concerns, including mental health disorders and substance use disorders; and</w:t>
      </w:r>
    </w:p>
    <w:p w:rsidR="003F3435" w:rsidRDefault="0032493E">
      <w:pPr>
        <w:spacing w:line="480" w:lineRule="auto"/>
        <w:ind w:firstLine="2160"/>
        <w:jc w:val="both"/>
      </w:pPr>
      <w:r>
        <w:t xml:space="preserve">(B)</w:t>
      </w:r>
      <w:r xml:space="preserve">
        <w:t> </w:t>
      </w:r>
      <w:r xml:space="preserve">
        <w:t> </w:t>
      </w:r>
      <w:r>
        <w:t xml:space="preserve">available community programs and services that address risky behaviors, suicide risks, and behavioral health concerns</w:t>
      </w:r>
      <w:r>
        <w:rPr>
          <w:u w:val="single"/>
        </w:rPr>
        <w:t xml:space="preserve">; and</w:t>
      </w:r>
    </w:p>
    <w:p w:rsidR="003F3435" w:rsidRDefault="0032493E">
      <w:pPr>
        <w:spacing w:line="480" w:lineRule="auto"/>
        <w:ind w:firstLine="1440"/>
        <w:jc w:val="both"/>
      </w:pPr>
      <w:r>
        <w:t xml:space="preserve">(6)</w:t>
      </w:r>
      <w:r xml:space="preserve">
        <w:t> </w:t>
      </w:r>
      <w:r xml:space="preserve">
        <w:t> </w:t>
      </w:r>
      <w:r>
        <w:t xml:space="preserve">appropriate grade levels and curriculum for instruction regarding opioid addiction and abuse and methods of administering an opioid antagonist, as defined by Section 483.101,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28.004(n), Education Code, is amended to read as follows:</w:t>
      </w:r>
    </w:p>
    <w:p w:rsidR="003F3435" w:rsidRDefault="0032493E">
      <w:pPr>
        <w:spacing w:line="480" w:lineRule="auto"/>
        <w:ind w:firstLine="720"/>
        <w:jc w:val="both"/>
      </w:pPr>
      <w:r>
        <w:t xml:space="preserve">(n)</w:t>
      </w:r>
      <w:r xml:space="preserve">
        <w:t> </w:t>
      </w:r>
      <w:r xml:space="preserve">
        <w:t> </w:t>
      </w:r>
      <w:r>
        <w:t xml:space="preserve">Any joint use agreement that a school district and community organization or agency enter into based on a recommendation of the local school health advisory council under Subsection </w:t>
      </w:r>
      <w:r>
        <w:rPr>
          <w:u w:val="single"/>
        </w:rPr>
        <w:t xml:space="preserve">(c)(4)</w:t>
      </w:r>
      <w:r>
        <w:t xml:space="preserve"> [</w:t>
      </w:r>
      <w:r>
        <w:rPr>
          <w:strike/>
        </w:rPr>
        <w:t xml:space="preserve">(c)(5)</w:t>
      </w:r>
      <w:r>
        <w:t xml:space="preserve">] must address liability for the school district and community organization or agency in the agreement.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28.004(e), (f), (g), (h), (i), (i-1), and (j), Education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