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4090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and loan program to promote the installation of on-site solar energy and energy storage for resilience.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2305, Government Code, is amended by adding Section 2305.040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2305.040.</w:t>
      </w:r>
      <w:r>
        <w:rPr>
          <w:u w:val="single"/>
        </w:rPr>
        <w:t xml:space="preserve"> </w:t>
      </w:r>
      <w:r>
        <w:rPr>
          <w:u w:val="single"/>
        </w:rPr>
        <w:t xml:space="preserve"> </w:t>
      </w:r>
      <w:r>
        <w:rPr>
          <w:u w:val="single"/>
        </w:rPr>
        <w:t xml:space="preserve">SOLAR ENERGY AND ENERGY STORAGE RESILIENCE GRANT AND LOAN PROGRAM.  (a)  </w:t>
      </w:r>
      <w:r>
        <w:rPr>
          <w:u w:val="single"/>
        </w:rPr>
        <w:t xml:space="preserve">In this section, "solar energy device" means a system or series of mechanisms designed primarily to provide heating or cooling or to produce electrical or mechanical power by collecting and transferring solar-generated energy.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"energy storage device" means a mechanical or chemical device that has the ability to store solar-generated energy for use in heating or cooling or in the production of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"essential community services" means those providing the public with free water, food, shelter, medical services, emergency response operations, and other services that the local county deems essential.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energy office is the supervising state agency of the solar energy and energy storage resilience grant and loan program. The program is established to encourage the installation of solar energy and energy storage devices to enable locations that provide essential community services during emergencies to continue operating autonomously when electricity from the grid is not available.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energy office shall award grants or make or guarantee loans for the the solar energy and energy storage resilience grant and loan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Grants shall be made available for government facilities. The energy office shall distribute grants in a manner that ensures an equitable geographic distribution.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energy office shall determine the terms under which a loan may be made under this section and shall set the interest rate for a loan at a low rate that the energy office determines is sufficient to recover the cost of administering the loan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awarding a grant or making a loan under this section, the energy office shall enter into a written agreement with the entity to which the grant is to be awarded or the loan is to be made. The agreement may specify that if, as of a date specified by the agreement, the entity has not used the grant or loan for the purposes for which the grant or loan was intended, the entity shall repay the amount of the grant or the amount of the loan and any accrued interest, as applicable, under terms specified by the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