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87R9597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student experience study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  Parents will be full partners with educators in the education of their children.</w:t>
      </w:r>
    </w:p>
    <w:p w:rsidR="003F3435" w:rsidRDefault="0032493E">
      <w:pPr>
        <w:spacing w:line="480" w:lineRule="auto"/>
        <w:ind w:firstLine="720"/>
        <w:jc w:val="both"/>
      </w:pPr>
      <w:r>
        <w:t xml:space="preserve">OBJECTIVE 2:  Students will be encouraged and challenged to meet their full educational potential.</w:t>
      </w:r>
    </w:p>
    <w:p w:rsidR="003F3435" w:rsidRDefault="0032493E">
      <w:pPr>
        <w:spacing w:line="480" w:lineRule="auto"/>
        <w:ind w:firstLine="720"/>
        <w:jc w:val="both"/>
      </w:pPr>
      <w:r>
        <w:t xml:space="preserve">OBJECTIVE 3:  Through enhanced dropout prevention efforts, all students will remain in school until they obtain a high school diploma.</w:t>
      </w:r>
    </w:p>
    <w:p w:rsidR="003F3435" w:rsidRDefault="0032493E">
      <w:pPr>
        <w:spacing w:line="480" w:lineRule="auto"/>
        <w:ind w:firstLine="720"/>
        <w:jc w:val="both"/>
      </w:pPr>
      <w:r>
        <w:t xml:space="preserve">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  Educators will prepare students to be thoughtful, active citizens who have an appreciation for the basic values of our state and national heritage and who can understand and productively function in a free enterprise society.</w:t>
      </w:r>
    </w:p>
    <w:p w:rsidR="003F3435" w:rsidRDefault="0032493E">
      <w:pPr>
        <w:spacing w:line="480" w:lineRule="auto"/>
        <w:ind w:firstLine="720"/>
        <w:jc w:val="both"/>
      </w:pPr>
      <w:r>
        <w:t xml:space="preserve">OBJECTIVE 6:  Qualified and highly effective personnel will be recruited, developed, and retained.</w:t>
      </w:r>
    </w:p>
    <w:p w:rsidR="003F3435" w:rsidRDefault="0032493E">
      <w:pPr>
        <w:spacing w:line="480" w:lineRule="auto"/>
        <w:ind w:firstLine="720"/>
        <w:jc w:val="both"/>
      </w:pPr>
      <w:r>
        <w:t xml:space="preserve">OBJECTIVE 7:  The state's students will demonstrate exemplary performance in comparison to national and international standards.</w:t>
      </w:r>
    </w:p>
    <w:p w:rsidR="003F3435" w:rsidRDefault="0032493E">
      <w:pPr>
        <w:spacing w:line="480" w:lineRule="auto"/>
        <w:ind w:firstLine="720"/>
        <w:jc w:val="both"/>
      </w:pPr>
      <w:r>
        <w:t xml:space="preserve">OBJECTIVE 8:  School campuses will maintain a safe and disciplined environment conducive to student learning.</w:t>
      </w:r>
    </w:p>
    <w:p w:rsidR="003F3435" w:rsidRDefault="0032493E">
      <w:pPr>
        <w:spacing w:line="480" w:lineRule="auto"/>
        <w:ind w:firstLine="720"/>
        <w:jc w:val="both"/>
      </w:pPr>
      <w:r>
        <w:t xml:space="preserve">OBJECTIVE 9:  Educators will keep abreast of the development of creative and innovative techniques in instruction and administration using those techniques as appropriate to improve student learning.</w:t>
      </w:r>
    </w:p>
    <w:p w:rsidR="003F3435" w:rsidRDefault="0032493E">
      <w:pPr>
        <w:spacing w:line="480" w:lineRule="auto"/>
        <w:ind w:firstLine="720"/>
        <w:jc w:val="both"/>
      </w:pPr>
      <w:r>
        <w:t xml:space="preserve">OBJECTIVE 10:  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  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rPr>
          <w:u w:val="single"/>
        </w:rPr>
        <w:t xml:space="preserve">OBJECTIVE 12:  Students will be partners with educators and administrators in the design, delivery, and success of the students'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 Education Code, is amended by adding Sections 7.041 and 7.042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7.041.</w:t>
      </w:r>
      <w:r>
        <w:rPr>
          <w:u w:val="single"/>
        </w:rPr>
        <w:t xml:space="preserve"> </w:t>
      </w:r>
      <w:r>
        <w:rPr>
          <w:u w:val="single"/>
        </w:rPr>
        <w:t xml:space="preserve"> </w:t>
      </w:r>
      <w:r>
        <w:rPr>
          <w:u w:val="single"/>
        </w:rPr>
        <w:t xml:space="preserve">STUDENT EXPERIENCE STUDY.  (a)  Not less than once every two years, the agency shall commission a statewide study of student experience that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student experience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teacher effectiveness;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campus culture and climate;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postgraduate readiness;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mental health;</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partnership and agency in decision-making;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safety;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discipline;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rigor and effectiveness;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information disaggregated by every student subpopulation identified by the agency that includes more than 25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multiple modes of gathering quantitative and qualitative data, including surveys, one-on-one interviews, and focus groups;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involve students in the planning and implementation of the study;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 representative sample set of suitable size and diversity in terms of geography, income, race, learning differences, and language abilities.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the results of the statewide student experience survey commissioned under Subsection (a),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track progress toward statewide student experience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to the legislature regarding allocation of educational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analysis of the effects of prior state legislative enactments applicable to student experience;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coaching opportunities to school districts whose students participate in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results of the statewide student experience study commissioned under Subsection (a) may not be used for purposes of determining compensation for teachers.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agency shall submit a report that includes the results of the latest statewide experience study commissioned under Subsection (a) and any associated recommendations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and each member of the legislature;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superintendent and the president of the board of trustees of each school district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7.042.</w:t>
      </w:r>
      <w:r>
        <w:rPr>
          <w:u w:val="single"/>
        </w:rPr>
        <w:t xml:space="preserve"> </w:t>
      </w:r>
      <w:r>
        <w:rPr>
          <w:u w:val="single"/>
        </w:rPr>
        <w:t xml:space="preserve"> </w:t>
      </w:r>
      <w:r>
        <w:rPr>
          <w:u w:val="single"/>
        </w:rPr>
        <w:t xml:space="preserve">STUDENT PARTNERSHIP IN EDUCATION.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decision-makers at state and local levels are equipped to partner with students in the design, delivery, and success of the students'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the board of trustees of each school district to establish and monitor progress toward at least one goal relating to student experience;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adopt and disseminate tools for school districts to assess the extent to which they are partnering with students in the design, delivery, and success of students'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and provide training to school district leaders, educators, and students regarding the facilitation of partnerships between students and adults in the school administration and measures for determining the success of student education;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and provide training for boards of trustees of school districts regarding methods to use students as partners in the process of governing the boards' districts.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2022, the Texas Education Agency shall submit the first report that includes the results of the statewide student experience study and any associated recommendations as required by Section 7.041,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