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Frank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Kolkhorst)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4094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12,</w:t>
      </w:r>
      <w:r xml:space="preserve">
        <w:t> </w:t>
      </w:r>
      <w:r>
        <w:t xml:space="preserve">2021; May</w:t>
      </w:r>
      <w:r xml:space="preserve">
        <w:t> </w:t>
      </w:r>
      <w:r>
        <w:t xml:space="preserve">12,</w:t>
      </w:r>
      <w:r xml:space="preserve">
        <w:t> </w:t>
      </w:r>
      <w:r>
        <w:t xml:space="preserve">2021, read first time and referred to Committee on Health &amp; Human Services; May</w:t>
      </w:r>
      <w:r xml:space="preserve">
        <w:t> </w:t>
      </w:r>
      <w:r>
        <w:t xml:space="preserve">20,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20,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Buckingham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Powell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Seliger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certain procurements by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2155.089(c),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enrollment contract described by 1 T.A.C. Section 391.183 as that section existed on September 1, 2015;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contract of the Employees Retirement System of Texas except for a contract with a nongovernmental entity for claims administration of a group health benefit plan under Subtitle H, Title 8, Insurance Code;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contract entered into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comptroller under Section 2155.061;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of Information Resources under Section 2157.068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child-specific contract entered into by the Department of Family and Protective Services for a child without placement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2155.144(a),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the Health and Human Services Commission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and to</w:t>
      </w:r>
      <w:r>
        <w:t xml:space="preserve">] each health and human services agency</w:t>
      </w:r>
      <w:r>
        <w:rPr>
          <w:u w:val="single"/>
        </w:rPr>
        <w:t xml:space="preserve">, and the Department of Family and Protective Services.  For the purposes of this section, the Department of Family and Protective Services is considered a health and human services agency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