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87R7493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4095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transportation, storage, and disposal of certain radioactive waste.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401, Health and Safety Code, is amended by adding Section 401.072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401.072.</w:t>
      </w:r>
      <w:r>
        <w:rPr>
          <w:u w:val="single"/>
        </w:rPr>
        <w:t xml:space="preserve"> </w:t>
      </w:r>
      <w:r>
        <w:rPr>
          <w:u w:val="single"/>
        </w:rPr>
        <w:t xml:space="preserve"> </w:t>
      </w:r>
      <w:r>
        <w:rPr>
          <w:u w:val="single"/>
        </w:rPr>
        <w:t xml:space="preserve">TRANSPORTATION, STORAGE, AND DISPOSAL OF GREATER THAN CLASS C WASTE AND HIGH-LEVEL RADIOACTIVE WASTE.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"Consolidated interim storage facility" means a facility operated for the storage of radioactive waste from one or more sources before disposal, not including a facility located on the site where the waste is generated.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"Greater than Class C waste" has the meaning assigned by 10 C.F.R. Section 72.3.  Section 401.005 does not apply to this definition.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"High-level radioactive waste" has the meaning assigned by 10 C.F.R. Section 72.3. Section 401.005 does not apply to this definition.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Subsections (d) and (e), the commission may not authorize: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acceptance of greater than Class C waste or high-level radioactive waste for disposal or for storage at a consolidated interim storage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transportation in this state of greater than Class C waste or high-level radioactive waste that did not originate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Subsections (d) and (e), a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greater than Class C waste or high-level radioactive waste for disposal or for storage at a consolidated interim storage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transport in this state greater than Class C waste or high-level radioactive waste that did not originate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federal law requires the acceptance of greater than Class C waste or high-level radioactive waste for disposal or for storage at a consolidated interim storage facility in this state, the commission may deny a license or other authorization for disposal or for storage of the waste at the facility if the facility does not satisfy all commission requirements.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federal law requires the transportation in this state of greater than Class C waste or high-level radioactive waste that did not originate in this state, the commission may deny authorization for the transportation of the waste in this state if all commission requirements regarding the transportation are not satisfied.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