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87R6642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4102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substance abuse treatment programs operated by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42A.303, Code of Criminal Procedure, is amended by amending Subsection (e) and adding Subsections (e-1), (e-2), and (e-3) to read as follows:</w:t>
      </w:r>
    </w:p>
    <w:p w:rsidR="003F3435" w:rsidRDefault="0032493E">
      <w:pPr>
        <w:spacing w:line="480" w:lineRule="auto"/>
        <w:ind w:firstLine="720"/>
        <w:jc w:val="both"/>
      </w:pPr>
      <w:r>
        <w:t xml:space="preserve">(e)</w:t>
      </w:r>
      <w:r xml:space="preserve">
        <w:t> </w:t>
      </w:r>
      <w:r xml:space="preserve">
        <w:t> </w:t>
      </w:r>
      <w:r>
        <w:t xml:space="preserve">The Department of State Health Services shall develop</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continuum of care treatment plan described by Subsection (d)(1)</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instrument to be used by the Texas Department of Criminal Justice to assess the residential aftercare needs of a defendant required as a condition of community supervision to serve a term of confinement and treatment in a substance abuse felony punishment facility under this article</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continuum of care treatment plan described by Subsection (d)(1)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nationally recognized professional, empirical, and evidence-based practices;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trauma-informed;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general health of defendants and include topics on exercise, diet, dental hygiene, and feminine hygiene, as applicable.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Department of State Health Services shall review and update the continuum of care treatment plan under Subsection (d)(1) at least once every five years.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residential aftercare assessment instrument developed under Subsection (e)(2) must be based on a medical and social risk assessment of the defendant and take into consideration the defendant's age, health, family status, disability, gender, and sexual identity to determine the most effective residential aftercare placement for the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493.009, Government Code, is amended by adding Subsections (e-1), (o), and (r)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qualified professional implementing the program under Subsection (e) may not modify the continuum of care treatment plan developed under Article 42A.303(d)(1), Code of Criminal Procedure, without the approval of the Department of State Health Services.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Notwithstanding any other law, the department may provide up to three months of aftercare housing in an appropriate facility operated by or under contract with the department, other than a transitional treatment center, for a defendant as recommended by an assessment conducted using the instrument developed by the Department of State Health Services under Article 42A.303(e)(2), Code of Criminal Procedure.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Department of State Health Services shall develop a survey that substance abuse felony punishment program participants may anonymously complete and submit to the Department of State Health Services and the department to assist the department in improving the program.  The survey must be available on the Department of State Health Services' Internet website for mail or online submission.  On request, the Department of State Health Services shall provide members of the public with anonymous survey responses.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493, Government Code, is amended by adding Sections 493.0091, 493.0092, and 493.0093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493.0091.</w:t>
      </w:r>
      <w:r>
        <w:rPr>
          <w:u w:val="single"/>
        </w:rPr>
        <w:t xml:space="preserve"> </w:t>
      </w:r>
      <w:r>
        <w:rPr>
          <w:u w:val="single"/>
        </w:rPr>
        <w:t xml:space="preserve"> </w:t>
      </w:r>
      <w:r>
        <w:rPr>
          <w:u w:val="single"/>
        </w:rPr>
        <w:t xml:space="preserve">SUBSTANCE ABUSE FELONY PUNISHMENT PROGRAM PARTICIPANT BILL OF RIGHTS.  (a) </w:t>
      </w:r>
      <w:r>
        <w:rPr>
          <w:u w:val="single"/>
        </w:rPr>
        <w:t xml:space="preserve"> </w:t>
      </w:r>
      <w:r>
        <w:rPr>
          <w:u w:val="single"/>
        </w:rPr>
        <w:t xml:space="preserve">The department shall develop a bill of rights for participants in a substance abuse felony punishment program operated under Section 493.009. </w:t>
      </w:r>
      <w:r>
        <w:rPr>
          <w:u w:val="single"/>
        </w:rPr>
        <w:t xml:space="preserve"> </w:t>
      </w:r>
      <w:r>
        <w:rPr>
          <w:u w:val="single"/>
        </w:rPr>
        <w:t xml:space="preserve">The bill of rights must include a description of any federal or state laws applicable to the participants.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to each participant: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oral explanation of the information contained in the bill of rights;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physical copy of the bill of rights or information regarding how to access an electronic version of the document.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training on the bill of rights developed under this section to all department employees assigned to a substance abuse felony punishment facility. </w:t>
      </w:r>
      <w:r>
        <w:rPr>
          <w:u w:val="single"/>
        </w:rPr>
        <w:t xml:space="preserve"> </w:t>
      </w:r>
      <w:r>
        <w:rPr>
          <w:u w:val="single"/>
        </w:rPr>
        <w:t xml:space="preserve">The department shall maintain documentation of the employee trainings.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493.0092.</w:t>
      </w:r>
      <w:r>
        <w:rPr>
          <w:u w:val="single"/>
        </w:rPr>
        <w:t xml:space="preserve"> </w:t>
      </w:r>
      <w:r>
        <w:rPr>
          <w:u w:val="single"/>
        </w:rPr>
        <w:t xml:space="preserve"> </w:t>
      </w:r>
      <w:r>
        <w:rPr>
          <w:u w:val="single"/>
        </w:rPr>
        <w:t xml:space="preserve">EVALUATION OF CERTAIN SUBSTANCE ABUSE TREATMENT FACILITIES.  (a) </w:t>
      </w:r>
      <w:r>
        <w:rPr>
          <w:u w:val="single"/>
        </w:rPr>
        <w:t xml:space="preserve"> </w:t>
      </w:r>
      <w:r>
        <w:rPr>
          <w:u w:val="single"/>
        </w:rPr>
        <w:t xml:space="preserve">The department shall develop outcome measures and performance targets for evaluating the effectiveness of any facility operated under contract with the department for the primary purpose of providing substance abuse treatment or aftercare. </w:t>
      </w:r>
      <w:r>
        <w:rPr>
          <w:u w:val="single"/>
        </w:rPr>
        <w:t xml:space="preserve"> </w:t>
      </w:r>
      <w:r>
        <w:rPr>
          <w:u w:val="single"/>
        </w:rPr>
        <w:t xml:space="preserve">The outcome measures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treatment program completion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employment rates of individuals who have completed the treatment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facility's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individuals with housing after completing treatment;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individuals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obtaining social services;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creating  civic reintegration plans, including identifying and making arrangements to pay any outstanding court costs, fines, and fees and child support payments owed by the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renew the contract of a facility that consistently fails to achieve the performance targets established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493.0093.</w:t>
      </w:r>
      <w:r>
        <w:rPr>
          <w:u w:val="single"/>
        </w:rPr>
        <w:t xml:space="preserve"> </w:t>
      </w:r>
      <w:r>
        <w:rPr>
          <w:u w:val="single"/>
        </w:rPr>
        <w:t xml:space="preserve"> </w:t>
      </w:r>
      <w:r>
        <w:rPr>
          <w:u w:val="single"/>
        </w:rPr>
        <w:t xml:space="preserve">SUBSTANCE ABUSE FELONY PUNISHMENT PROGRAM REPORT.  (a) </w:t>
      </w:r>
      <w:r>
        <w:rPr>
          <w:u w:val="single"/>
        </w:rPr>
        <w:t xml:space="preserve"> </w:t>
      </w:r>
      <w:r>
        <w:rPr>
          <w:u w:val="single"/>
        </w:rPr>
        <w:t xml:space="preserve">Not later than February 1 of each year, the department, using appropriated funds, shall prepare and submit a report to the governor, the lieutenant governor, the speaker of the house of representatives, and each standing committee of the legislature with primary jurisdiction over the department that includes the following information for the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participants in the substance abuse felony punishment program operated under Section 493.009 and information on the county of residence of participants before entering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participants who completed the program categorized according to the facility in which the participant was confined, including the number of participants who completed any aftercare required as a condition of community supervision;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participants who failed to complete the program and the reasons for the failures;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recidivism rate of participants,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participants by county who completed the program and were subsequently arrested or convicted of an offense;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of the most common offenses for which participants were arrested or convicted;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revocation rate of program participants who are on community supervision or parole and the reasons for the revocations;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information on the program's budget;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turnover rate of department employees assigned to the program and of employees of any entity implementing the program under contract with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report available on the department's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make the data used to produce the report available on request to any college or university for purposes of evaluating the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493.032, Government Code, as added by Chapter 1163 (H.B.</w:t>
      </w:r>
      <w:r xml:space="preserve">
        <w:t> </w:t>
      </w:r>
      <w:r>
        <w:t xml:space="preserve">3227), Acts of the 86th Legislature, Regular Session, 2019,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apply for grants from any public or private source for the purpose of employing individuals to provide peer support services to persons participating in a substance abuse felony punishment program under Section 493.009.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