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87R8094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children of certain essential employees for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 person who is employed by a state or local governmental entity or a private business entity in a position determined by the agency to be essential to the response to or recovery from an event declared to be a disaster by the president of the United States under the Robert T. Stafford Disaster Relief and Emergency Assistance Act (42 U.S.C. Section 5121 et seq.) or the governor under Chapter 418, Government Code</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the child's parent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leaves the armed forces</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declaration of disaster under Subsection (b)(8) expires or the state or local governmental entity or private business entity in which the child's parent is employed is determined to no longer be essential to the response to or recovery from the disaster</w:t>
      </w:r>
      <w:r>
        <w:t xml:space="preserve"> [</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