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of entry for the purpose of exercising the power of eminent domain by a common carrier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111.019, Natural Resources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entering property for the purpose of making a preliminary survey to be used in the exercise of the power of eminent domain granted under this section, the common carrier or its employees, contractors, agents, or assigns shall provide the property owner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the carrier's intent to enter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indemnification provision in favor of the property owner with respect to damages, if any, resulting from the survey.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and indemnification provided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to the property owner not later than the second day before the date of entry to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phone number of a person whom the property owner may contact regarding any questions or objections the property owner has relating to the survey;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provided by first class mail, e-mail, personal delivery to an adult living on the property, or by any other method of service authorized by the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Entry to property for which notice is provided under Subsection (d) is subject to the conditions that the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limited to only the portion of the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anticipated to be affected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route of the proposed pipeline;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proposed pipeline appurtenance;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accessed to conduct the survey, including the property corners or property location monuments necessary to identify the boundaries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purpose of conducting surveys;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otherwise authorized by the property owner, does not authorize the cutting, removal, or relocation of a fence for the purpose of conducting the survey without the prompt restoration or repair of the fence;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restoration of property to be as close as reasonably possible to the original condition before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all equipment and tools used in the survey to be removed by a certain date;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property owner, on written request, be provided, at no charge, a survey plat or depiction gathered and prepared from information obtained from the survey.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an entity from seeking survey access rights or seeking to prevent interference with those rights in a civil action authorized under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111.019, Natural Resources Code, apply only to a condemnation proceeding in which the petition is filed on or after the effective date of this Act and to any property condemned through the proceeding.  A condemnation proceeding in which the petition is filed before the effective date of this Act and any property condemned through the proceeding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