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87R22984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4107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4107:</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4107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of entry for the purpose of exercising the power of eminent domain by a common carrier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111.019, Natural Resources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entering property for the purpose of making a preliminary survey to be used in the exercise of the power of eminent domain granted under this section, the common carrier or its employees, contractors, agents, or assigns shall provide the property owner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the carrier's intent to enter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indemnification provision in favor of the property owner with respect to any damages resulting from the survey.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and indemnification provided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to the property owner not later than the second day before the date of entry to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phone number of a person whom the property owner may contact regarding any questions or objections the property owner has relating to the survey;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provided by first class mail, e-mail, personal delivery to an adult living on the property, or by any other method of service authorized by the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Entry to property for which notice is provided under Subsection (d) is subject to the conditions that the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limited to only the portion of the property that is anticipated to be affected by the route of the proposed pipeline;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purpose of conducting surveys;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otherwise authorized by the property owner, does not authorize the cutting, removal, or relocation of a fence for the purpose of conducting the survey without the prompt restoration or repair of the fence;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the restoration of property to be as close as reasonably possible to the original condition before entry;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all equipment and tools used in the survey to be removed by a certain date;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property owner, on written request, be provided, at no charge, all non-privileged information gathered from the entry, including surveys, reports, maps, and photographs.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111.019, Natural Resources Code, apply only to a condemnation proceeding in which the petition is filed on or after the effective date of this Act and to any property condemned through the proceeding.  A condemnation proceeding in which the petition is filed before the effective date of this Act and any property condemned through the proceeding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