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87R22984 JAM-F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Burrows</w:t>
      </w:r>
      <w:r xml:space="preserve">
        <w:tab wTab="150" tlc="none" cTlc="0"/>
      </w:r>
      <w:r>
        <w:t xml:space="preserve">H.B.</w:t>
      </w:r>
      <w:r xml:space="preserve">
        <w:t> </w:t>
      </w:r>
      <w:r>
        <w:t xml:space="preserve">No.</w:t>
      </w:r>
      <w:r xml:space="preserve">
        <w:t> </w:t>
      </w:r>
      <w:r>
        <w:t xml:space="preserve">4107</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4107:</w:t>
      </w:r>
    </w:p>
    <w:p w:rsidR="003F3435" w:rsidRDefault="0032493E">
      <w:pPr>
        <w:spacing w:line="480" w:lineRule="auto"/>
        <w:jc w:val="both"/>
        <w:tabs>
          <w:tab w:val="right" w:leader="none" w:pos="9350"/>
        </w:tabs>
      </w:pPr>
      <w:r>
        <w:t xml:space="preserve">By:</w:t>
      </w:r>
      <w:r xml:space="preserve">
        <w:t> </w:t>
      </w:r>
      <w:r xml:space="preserve">
        <w:t> </w:t>
      </w:r>
      <w:r>
        <w:t xml:space="preserve">Biedermann</w:t>
      </w:r>
      <w:r xml:space="preserve">
        <w:tab wTab="150" tlc="none" cTlc="0"/>
      </w:r>
      <w:r>
        <w:t xml:space="preserve">C.S.H.B.</w:t>
      </w:r>
      <w:r xml:space="preserve">
        <w:t> </w:t>
      </w:r>
      <w:r>
        <w:t xml:space="preserve">No.</w:t>
      </w:r>
      <w:r xml:space="preserve">
        <w:t> </w:t>
      </w:r>
      <w:r>
        <w:t xml:space="preserve">4107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notice of entry for the purpose of exercising the power of eminent domain by a common carrier pipeline.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111.019, Natural Resources Code, is amended by adding Subsections (d), (e), and (f)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Before entering property for the purpose of making a preliminary survey to be used in the exercise of the power of eminent domain granted under this section, the common carrier or its employees, contractors, agents, or assigns shall provide the property owner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written notice of the carrier's intent to enter the property;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indemnification provision in favor of the property owner with respect to any damages resulting from the survey.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Notice and indemnification provided under Subsection (d):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provided to the property owner not later than the second day before the date of entry to the property;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include the phone number of a person whom the property owner may contact regarding any questions or objections the property owner has relating to the survey;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be provided by first class mail, e-mail, personal delivery to an adult living on the property, or by any other method of service authorized by the Texas Rules of Civil Procedure.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Entry to property for which notice is provided under Subsection (d) is subject to the conditions that the entry: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limited to only the portion of the property that is anticipated to be affected by the route of the proposed pipeline;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limited to the purpose of conducting surveys;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unless otherwise authorized by the property owner, does not authorize the cutting, removal, or relocation of a fence for the purpose of conducting the survey without the prompt restoration or repair of the fence;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requires the restoration of property to be as close as reasonably possible to the original condition before entry;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requires all equipment and tools used in the survey to be removed by a certain date;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requires that the property owner, on written request, be provided, at no charge, all non-privileged information gathered from the entry, including surveys, reports, maps, and photographs.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to Section 111.019, Natural Resources Code, apply only to a condemnation proceeding in which the petition is filed on or after the effective date of this Act and to any property condemned through the proceeding.  A condemnation proceeding in which the petition is filed before the effective date of this Act and any property condemned through the proceeding are governed by the law in effect immediately before that date,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4107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