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87R13471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exercise of the power of eminent domain by a common carrier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111.019, Natural Resources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exercise of the power of eminent domain granted under the provisions of Subsection (a), a common carrier shall make a good faith effort to negotiate with the owner of property sought to be condemned with regard to the particular route or location of the pipeline or incidental facility on the owner's property.  The requirement to negotiate provided 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construed to allow an owner of property to unreasonably refuse to agree to a particular route proposed by the common carrier or to negotiate a route or location of a pipeline or incidental facility on property not owned by the property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presumed to be satisfied if the common carrier or its employees, contractors, agents, or assigns contact the property owner in person, by telephone, or through certified mail, return receipt requested, and the property owner does not respond before the 15th day after the date of contact.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entering property for the purpose of making a preliminary survey to be used in the exercise of the power of eminent domain granted under this section, the common carrier or its employees, contractors, agents, or assigns shall obtain from the property owner a written authorization for the right to enter the property.  A written authorization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unreasonably refused by a property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notice before entering the property under the authorization;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the authorized access to be at a time that is agreeable to both the common carrier and the property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limit the right of entry to only the portion of the property that is affected by the proposed pipeline;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limit the right of entry to the purpose of conducting surveys;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prohibit the cutting, removal, or relocation of a fence for the purpose of conducting the survey without the prompt restoration or repair of the fence;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require the restoration of property to be as close as possible to the original condition before entry;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require all equipment and tools used in the survey to be removed by a certain date;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require the common carrier or its employees, contractors, agents, or assigns to promptly repair or remediate any damage caused by the common carrier or its employees, contractors, agents, or assigns while on the property;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provide an indemnification provision in favor of the property owner;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require that the property owner, on written request, be provided, at no charge, all non-privileged information gathered from the entry, including surveys, reports, maps, and photographs;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provide for an expiration date for the authorization.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111.019, Natural Resources Code, apply only to a condemnation proceeding in which the petition is filed on or after the effective date of this Act and to any property condemned through the proceeding.  A condemnation proceeding in which the petition is filed before the effective date of this Act and any property condemned through the proceeding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