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4107</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 Hall, Schwertner)</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notice of entry for the purpose of exercising the power of eminent domain by a common carrier pipeline.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111.019, Natural Resources Code, is amended by adding Subsections (d), (e), (f), and (g)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entering property for the purpose of making a preliminary survey to be used in the exercise of the power of eminent domain granted under this section, the common carrier or its employees, contractors, agents, or assigns shall provide the property owner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of the carrier's intent to enter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indemnification provision in favor of the property owner with respect to damages, if any, resulting from the survey.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Notice and indemnification provided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provided to the property owner not later than the second day before the date of entry to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the phone number of a person whom the property owner may contact regarding any questions or objections the property owner has relating to the survey;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provided by first class mail, e-mail, personal delivery to an adult living on the property, or by any other method of service authorized by the Texas Rules of Civil Procedure.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Entry to property for which notice is provided under Subsection (d) is subject to the conditions that the entry: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limited to only the portion of the property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anticipated to be affected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route of the proposed pipeline;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proposed pipeline appurtenance;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be accessed to conduct the survey, including the property corners or property location monuments necessary to identify the boundaries of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purpose of conducting surveys;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unless otherwise authorized by the property owner, does not authorize the cutting, removal, or relocation of a fence for the purpose of conducting the survey without the prompt restoration or repair of the fence;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the restoration of property to be as close as reasonably possible to the original condition before entry;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requires all equipment and tools used in the survey to be removed by a certain date;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requires that the property owner, on written request, be provided, at no charge, a survey plat or depiction gathered and prepared from information obtained from the survey.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prevent an entity from seeking survey access rights or seeking to prevent interference with those rights in a civil action authorized under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111.019, Natural Resources Code, apply only to a condemnation proceeding in which the petition is filed on or after the effective date of this Act and to any property condemned through the proceeding.  A condemnation proceeding in which the petition is filed before the effective date of this Act and any property condemned through the proceeding are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