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87R20130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Guerra, Longoria, Muñoz, Jr.</w:t>
      </w:r>
      <w:r xml:space="preserve">
        <w:tab wTab="150" tlc="none" cTlc="0"/>
      </w:r>
      <w:r>
        <w:t xml:space="preserve">H.B.</w:t>
      </w:r>
      <w:r xml:space="preserve">
        <w:t> </w:t>
      </w:r>
      <w:r>
        <w:t xml:space="preserve">No.</w:t>
      </w:r>
      <w:r xml:space="preserve">
        <w:t> </w:t>
      </w:r>
      <w:r>
        <w:t xml:space="preserve">4108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4108:</w:t>
      </w:r>
    </w:p>
    <w:p w:rsidR="003F3435" w:rsidRDefault="0032493E">
      <w:pPr>
        <w:spacing w:line="480" w:lineRule="auto"/>
        <w:jc w:val="both"/>
        <w:tabs>
          <w:tab w:val="right" w:leader="none" w:pos="9350"/>
        </w:tabs>
      </w:pPr>
      <w:r>
        <w:t xml:space="preserve">By:</w:t>
      </w:r>
      <w:r xml:space="preserve">
        <w:t> </w:t>
      </w:r>
      <w:r xml:space="preserve">
        <w:t> </w:t>
      </w:r>
      <w:r>
        <w:t xml:space="preserve">Anchia</w:t>
      </w:r>
      <w:r xml:space="preserve">
        <w:tab wTab="150" tlc="none" cTlc="0"/>
      </w:r>
      <w:r>
        <w:t xml:space="preserve">C.S.H.B.</w:t>
      </w:r>
      <w:r xml:space="preserve">
        <w:t> </w:t>
      </w:r>
      <w:r>
        <w:t xml:space="preserve">No.</w:t>
      </w:r>
      <w:r xml:space="preserve">
        <w:t> </w:t>
      </w:r>
      <w:r>
        <w:t xml:space="preserve">4108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transfer of ownership for a perpetual care cemetery.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712, Health and Safety Code, is amended by adding Section 712.00391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712.00391.</w:t>
      </w:r>
      <w:r>
        <w:rPr>
          <w:u w:val="single"/>
        </w:rPr>
        <w:t xml:space="preserve"> </w:t>
      </w:r>
      <w:r>
        <w:rPr>
          <w:u w:val="single"/>
        </w:rPr>
        <w:t xml:space="preserve"> </w:t>
      </w:r>
      <w:r>
        <w:rPr>
          <w:u w:val="single"/>
        </w:rPr>
        <w:t xml:space="preserve">TRANSFER OF BUSINESS OWNERSHIP; DUTIES OF NEW CERTIFICATE HOLDER. </w:t>
      </w:r>
      <w:r>
        <w:rPr>
          <w:u w:val="single"/>
        </w:rPr>
        <w:t xml:space="preserve"> </w:t>
      </w:r>
      <w:r>
        <w:rPr>
          <w:u w:val="single"/>
        </w:rPr>
        <w:t xml:space="preserve">(a) </w:t>
      </w:r>
      <w:r>
        <w:rPr>
          <w:u w:val="single"/>
        </w:rPr>
        <w:t xml:space="preserve"> </w:t>
      </w:r>
      <w:r>
        <w:rPr>
          <w:u w:val="single"/>
        </w:rPr>
        <w:t xml:space="preserve">In this section, "transferor" means a certificate holder who transfers the holder's ownership of a perpetual care cemetery to another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the transfer of the business ownership of a perpetual care cemetery, the new certificate holder may not modify the terms, including the amount of any fees for maintenance or upkeep of the cemetery, of a prepaid funeral contract entered into by the plot owner and the transferor without the plot owner's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60 days after the date a transfer of ownership of a perpetual care cemetery described by Section 712.0039(b) is executed, the new certificate holder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each plot owner: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 the transfer of ownership and the identity of the new certificate holder;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that the new certificate holder may not modify the terms of a prepaid funeral contract entered into by the plot owner and the transferor;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each plot owner the costs outlined in the prepaid funeral contract entered into by the plot owner and the transferor.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new certificate holder may provide the notice and costs outlined in the prepaid funeral contract to a plot owner as required by Subsection (c) by mail, e-mail, telephone, or in any other manner that ensures the plot owner will receive the notice and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During a transfer of ownership and for at least 120 days following the transfer, a perpetual care cemetery must have a representative available to provide assistance to a plot owner or the owner's immediate family members or authorized representative. The assistance must be provided in English and Spanish or, if applicable, English and any other language spoken by a substantial portion of the individuals residing in the area in which the perpetual care cemetery is located.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712.00391, Health and Safety Code, as added by this Act, applies to a transfer in business ownership of a perpetual care cemetery that occurs on or after the effective date of this Act. A transfer in business ownership that occurs before that date is governed by the law in effect on the date the transfer occurred,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4108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