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87R11291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4114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retention of state sales tax revenue collected by certain retailers for a limited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151, Tax Code, is amended by adding Section 151.433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151.433.</w:t>
      </w:r>
      <w:r>
        <w:rPr>
          <w:u w:val="single"/>
        </w:rPr>
        <w:t xml:space="preserve"> </w:t>
      </w:r>
      <w:r>
        <w:rPr>
          <w:u w:val="single"/>
        </w:rPr>
        <w:t xml:space="preserve"> </w:t>
      </w:r>
      <w:r>
        <w:rPr>
          <w:u w:val="single"/>
        </w:rPr>
        <w:t xml:space="preserve">AUTHORIZATION FOR CERTAIN RETAILERS TO RETAIN STATE SALES TAX COLLECTIONS FOR A LIMITED PERIOD.  (a)  In this section, "qualifying retailer" means a retailer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collects and remits to the comptroller sales taxes imposed on the sale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ticket granting admission to a film;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concessions sold on-site at the retailer's place of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any time in 2020 required to cease operations as a result of an order, proclamation, or other instrument issued by the governor, another official of this state, or the governing body or an official of a political subdivision of this state in response to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qualifying retailer is not required to remit to the comptroller and may retain the taxes imposed under this chapter and collected by the qualifying retailer on sales made during the period beginning September 1, 2021, and ending August 31,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qualifying retailer must file with the comptroller a tax report required by this chapter that shows the amount of taxes imposed by this chapter and collected and retained as authorized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qualifying retailer shall continue to remit to the comptroller sales taxes imposed by a political subdivision of this state and collected on sales with respect to which the qualifying retailer retains collected taxes as authorized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any time during the period described by Subsection (b), the comptroller may require the qualifying retailer to demonstrate, in a manner prescribed by the comptroller, that the qualifying retailer is in compliance with the requirements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after written notice and a hearing, may revoke a qualifying retailer's authority to retain collected taxes as authorized by this section if the qualifying retailer fails to comply with this chapter or a rule adopted under this chapter.  The comptroller shall give notice to the qualifying retailer of the time and place of the hearing on the revocation not later than the 20th day before the date of the hearing.  The notice must state the reason the comptroller is seeking to revoke the qualifying retailer's authority to retain collected taxes under this section.  At the hearing, the qualifying retailer must show cause why the qualifying retailer's authority to retain the collected taxes should not be revoked.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January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