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87R23596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Guillen</w:t>
      </w:r>
      <w:r xml:space="preserve">
        <w:tab wTab="150" tlc="none" cTlc="0"/>
      </w:r>
      <w:r>
        <w:t xml:space="preserve">H.B.</w:t>
      </w:r>
      <w:r xml:space="preserve">
        <w:t> </w:t>
      </w:r>
      <w:r>
        <w:t xml:space="preserve">No.</w:t>
      </w:r>
      <w:r xml:space="preserve">
        <w:t> </w:t>
      </w:r>
      <w:r>
        <w:t xml:space="preserve">4120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4120: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4120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efficient use and generation of electricity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diesel oxidation catalysts for school buses built before 1994;</w:t>
      </w:r>
    </w:p>
    <w:p w:rsidR="003F3435" w:rsidRDefault="0032493E">
      <w:pPr>
        <w:spacing w:line="480" w:lineRule="auto"/>
        <w:ind w:firstLine="1440"/>
        <w:jc w:val="both"/>
      </w:pPr>
      <w:r>
        <w:t xml:space="preserve">(2)</w:t>
      </w:r>
      <w:r xml:space="preserve">
        <w:t> </w:t>
      </w:r>
      <w:r xml:space="preserve">
        <w:t> </w:t>
      </w:r>
      <w:r>
        <w:t xml:space="preserve">diesel particulate filters for school buses built from 1994 to 1998;</w:t>
      </w:r>
    </w:p>
    <w:p w:rsidR="003F3435" w:rsidRDefault="0032493E">
      <w:pPr>
        <w:spacing w:line="480" w:lineRule="auto"/>
        <w:ind w:firstLine="1440"/>
        <w:jc w:val="both"/>
      </w:pPr>
      <w:r>
        <w:t xml:space="preserve">(3)</w:t>
      </w:r>
      <w:r xml:space="preserve">
        <w:t> </w:t>
      </w:r>
      <w:r xml:space="preserve">
        <w:t> </w:t>
      </w:r>
      <w:r>
        <w:t xml:space="preserve">the purchase and use of emission-reducing add-on equipment for school buses, including devices that reduce crankcase emissions;</w:t>
      </w:r>
    </w:p>
    <w:p w:rsidR="003F3435" w:rsidRDefault="0032493E">
      <w:pPr>
        <w:spacing w:line="480" w:lineRule="auto"/>
        <w:ind w:firstLine="1440"/>
        <w:jc w:val="both"/>
      </w:pPr>
      <w:r>
        <w:t xml:space="preserve">(4)</w:t>
      </w:r>
      <w:r xml:space="preserve">
        <w:t> </w:t>
      </w:r>
      <w:r xml:space="preserve">
        <w:t> </w:t>
      </w:r>
      <w:r>
        <w:t xml:space="preserve">the use of qualifying fuel;</w:t>
      </w:r>
    </w:p>
    <w:p w:rsidR="003F3435" w:rsidRDefault="0032493E">
      <w:pPr>
        <w:spacing w:line="480" w:lineRule="auto"/>
        <w:ind w:firstLine="1440"/>
        <w:jc w:val="both"/>
      </w:pPr>
      <w:r>
        <w:t xml:space="preserve">(5)</w:t>
      </w:r>
      <w:r xml:space="preserve">
        <w:t> </w:t>
      </w:r>
      <w:r xml:space="preserve">
        <w:t> </w:t>
      </w:r>
      <w:r>
        <w:t xml:space="preserve">other technologies that the commission finds will bring about significant emissions reductions;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w:t>
      </w:r>
      <w:r>
        <w:t xml:space="preserve"> replacement </w:t>
      </w:r>
      <w:r>
        <w:rPr>
          <w:u w:val="single"/>
        </w:rPr>
        <w:t xml:space="preserve">or conversion</w:t>
      </w:r>
      <w:r>
        <w:t xml:space="preserve"> of a [</w:t>
      </w:r>
      <w:r>
        <w:rPr>
          <w:strike/>
        </w:rPr>
        <w:t xml:space="preserve">pre-2007 model year</w:t>
      </w:r>
      <w:r>
        <w:t xml:space="preserve">] school bus </w:t>
      </w:r>
      <w:r>
        <w:rPr>
          <w:u w:val="single"/>
        </w:rPr>
        <w:t xml:space="preserve">eligible for replacement or conversion under Section 390.004;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installation of charging infrastructure for electric school buses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entity that leases school buses to a school district or provides school bus services or supporting infrastructure to a school district by contract may apply for and receive a grant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390.004, Health and Safety Code, is amended by amending Subsections (a), (c), and (d)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establish criteria for setting priorities for projects eligible to receive grants under this chapter. </w:t>
      </w:r>
      <w:r>
        <w:rPr>
          <w:u w:val="single"/>
        </w:rPr>
        <w:t xml:space="preserve">Except as provided by Subsection (a-1), the</w:t>
      </w:r>
      <w:r>
        <w:t xml:space="preserve"> [</w:t>
      </w:r>
      <w:r>
        <w:rPr>
          <w:strike/>
        </w:rPr>
        <w:t xml:space="preserve">The</w:t>
      </w:r>
      <w:r>
        <w:t xml:space="preserve">] commission shall review and may modify the criteria and priorities as appropriate.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criteria must prioritize projects that achieve the greatest reductions in diesel exhaust, especially particulate matter.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shall ensure that at least 75 percent of the money issued for grants under this chapter is issued for projects to purchase electric buses or to convert diesel buses into electric buses.</w:t>
      </w:r>
    </w:p>
    <w:p w:rsidR="003F3435" w:rsidRDefault="0032493E">
      <w:pPr>
        <w:spacing w:line="480" w:lineRule="auto"/>
        <w:ind w:firstLine="720"/>
        <w:jc w:val="both"/>
      </w:pPr>
      <w:r>
        <w:t xml:space="preserve">(c)</w:t>
      </w:r>
      <w:r xml:space="preserve">
        <w:t> </w:t>
      </w:r>
      <w:r xml:space="preserve">
        <w:t> </w:t>
      </w:r>
      <w:r>
        <w:t xml:space="preserve">A school bus proposed for replacement must:</w:t>
      </w:r>
    </w:p>
    <w:p w:rsidR="003F3435" w:rsidRDefault="0032493E">
      <w:pPr>
        <w:spacing w:line="480" w:lineRule="auto"/>
        <w:ind w:firstLine="1440"/>
        <w:jc w:val="both"/>
      </w:pPr>
      <w:r>
        <w:t xml:space="preserve">(1)</w:t>
      </w:r>
      <w:r xml:space="preserve">
        <w:t> </w:t>
      </w:r>
      <w:r xml:space="preserve">
        <w:t> </w:t>
      </w:r>
      <w:r>
        <w:t xml:space="preserve">be of model year 2006 or earlier </w:t>
      </w:r>
      <w:r>
        <w:rPr>
          <w:u w:val="single"/>
        </w:rPr>
        <w:t xml:space="preserve">if the bus will be replaced with a combustion engine bus</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be of a model year that is at least six years older than the year in which the grant application is submitted or have an odometer reading at least 150,000 miles if the bus will be replaced with an electric bus;</w:t>
      </w:r>
    </w:p>
    <w:p w:rsidR="003F3435" w:rsidRDefault="0032493E">
      <w:pPr>
        <w:spacing w:line="480" w:lineRule="auto"/>
        <w:ind w:firstLine="1440"/>
        <w:jc w:val="both"/>
      </w:pPr>
      <w:r>
        <w:t xml:space="preserve">(2)</w:t>
      </w:r>
      <w:r xml:space="preserve">
        <w:t> </w:t>
      </w:r>
      <w:r xml:space="preserve">
        <w:t> </w:t>
      </w:r>
      <w:r>
        <w:t xml:space="preserve">have been owned and operated by the applicant for at least the two years before submission of the grant application;</w:t>
      </w:r>
    </w:p>
    <w:p w:rsidR="003F3435" w:rsidRDefault="0032493E">
      <w:pPr>
        <w:spacing w:line="480" w:lineRule="auto"/>
        <w:ind w:firstLine="1440"/>
        <w:jc w:val="both"/>
      </w:pPr>
      <w:r>
        <w:t xml:space="preserve">(3)</w:t>
      </w:r>
      <w:r xml:space="preserve">
        <w:t> </w:t>
      </w:r>
      <w:r xml:space="preserve">
        <w:t> </w:t>
      </w:r>
      <w:r>
        <w:t xml:space="preserve">be in good operational condition; and</w:t>
      </w:r>
    </w:p>
    <w:p w:rsidR="003F3435" w:rsidRDefault="0032493E">
      <w:pPr>
        <w:spacing w:line="480" w:lineRule="auto"/>
        <w:ind w:firstLine="1440"/>
        <w:jc w:val="both"/>
      </w:pPr>
      <w:r>
        <w:t xml:space="preserve">(4)</w:t>
      </w:r>
      <w:r xml:space="preserve">
        <w:t> </w:t>
      </w:r>
      <w:r xml:space="preserve">
        <w:t> </w:t>
      </w:r>
      <w:r>
        <w:t xml:space="preserve">be currently used on a regular, daily route to and from a school.</w:t>
      </w:r>
    </w:p>
    <w:p w:rsidR="003F3435" w:rsidRDefault="0032493E">
      <w:pPr>
        <w:spacing w:line="480" w:lineRule="auto"/>
        <w:ind w:firstLine="720"/>
        <w:jc w:val="both"/>
      </w:pPr>
      <w:r>
        <w:t xml:space="preserve">(d)</w:t>
      </w:r>
      <w:r xml:space="preserve">
        <w:t> </w:t>
      </w:r>
      <w:r xml:space="preserve">
        <w:t> </w:t>
      </w:r>
      <w:r>
        <w:t xml:space="preserve">A school bus proposed for purchase to replace a [</w:t>
      </w:r>
      <w:r>
        <w:rPr>
          <w:strike/>
        </w:rPr>
        <w:t xml:space="preserve">pre-2007 model year</w:t>
      </w:r>
      <w:r>
        <w:t xml:space="preserve">] school bus </w:t>
      </w:r>
      <w:r>
        <w:rPr>
          <w:u w:val="single"/>
        </w:rPr>
        <w:t xml:space="preserve">described by Subsection (c)</w:t>
      </w:r>
      <w:r>
        <w:t xml:space="preserve"> must be of the current model year or the year before the current model year at the time of submission of the grant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recipient of a grant under this chapter shall use the grant to pay the incremental costs of the project for which the grant is made, which may include the reasonable and necessary expenses incurred for the labor needed to install emissions-reducing equipment </w:t>
      </w:r>
      <w:r>
        <w:rPr>
          <w:u w:val="single"/>
        </w:rPr>
        <w:t xml:space="preserve">or vehicle charging infrastructure</w:t>
      </w:r>
      <w:r>
        <w:t xml:space="preserve">. The recipient may not use the grant to pay the recipient's administrative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"Interconnection" means the right of a person to physically connect an energy source and related equipment to an electricity distribution system and the technical requirements, rules, or processes required for the connection.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energy source" means a source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on-site distributed renewable generation, energy storage, or an electric school bus;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leased, or used by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USE OF SCHOOL ENERGY SOURCES.  (a)  A school district or open-enrollment charter school that installs electric vehicle charging equipment shall contract with an electric cooperative, an electric utility, a municipally owned utility, or a transmission and distribution utility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make-ready infrastructure on the cooperative's or utility's side of the meter required to facilitate interconnection of the electric vehicle charging equipment, including a new service connection, transformer, conductor, connector, conduit, or meter;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any necessary construction on the cooperative's or utility's side of the meter to comply with local regulations related to the charging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Electric cooperatives, electric utilities, municipally owned utilities, and transmission and distribution utilities shall use their best efforts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and facilitate interconnection processes for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about distribution system capacity and needs to a school district or open-enrollment charter school, or a person acting on behalf of a school district or open-enrollment charter school, to facilitate interconnection of school energy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or a person acting on behalf of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distribution system grid services, including local capacity relief, voltage and VAR support, and local frequency control, using a school energy source or a combination of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appropriate compensation for distribution grid services provided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adopt rules or protocols to allow a school district or open-enrollment charter school, or a person acting on behalf of a school district or open-enrollment charter school, to sell energy and ancillary services from school energy sources in the wholesale market without registering as a power generation company.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36, Utilities Code, is amended by adding Section 36.3531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36.3531.</w:t>
      </w:r>
      <w:r>
        <w:rPr>
          <w:u w:val="single"/>
        </w:rPr>
        <w:t xml:space="preserve"> </w:t>
      </w:r>
      <w:r>
        <w:rPr>
          <w:u w:val="single"/>
        </w:rPr>
        <w:t xml:space="preserve"> </w:t>
      </w:r>
      <w:r>
        <w:rPr>
          <w:u w:val="single"/>
        </w:rPr>
        <w:t xml:space="preserve">TIME-OF-USE RATES FOR PUBLIC SCHOOLS.  (a)  Notwithstanding any other provision of this title, each electric utility that provides electric service to a retail customer shall offer to a school district or open-enrollment charter school served by the electric utility time-of-use rates to promote efficient: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in school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title, each transmission and distribution utility in the ERCOT power region shall offer to any retail electric provider in its service area that serves a school district or open-enrollment charter school a rate structure that allows the retail electric provider to offer time-of-use rates to the district or school to promote efficient: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for school buildings.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Chapter 390,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 36.3531, Utilities Code, as added by this Act, do not require an electric utility to initiate a new ratemaking proceeding.  An electric utility shall comply with Section 36.3531, Utilities Code, as added by this Act, beginning with the electric utility's first ratemaking proceeding that begins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