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87R10705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discrimination based on sexual orientation or gender identity or expression.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42.014(a)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trial of an offense under Title 5, Penal Code, or Section 28.02, 28.03, or 28.08,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 intentionally selected the person against whom the offense was committed, or intentionally selected the person's property that was damaged or affected as a result of the offense, because of the defendant's bias or prejudice against a group identified by race, color, disability, religion, national origin or ancestry, age, gender, [</w:t>
      </w:r>
      <w:r>
        <w:rPr>
          <w:strike/>
        </w:rPr>
        <w:t xml:space="preserve">or</w:t>
      </w:r>
      <w:r>
        <w:t xml:space="preserve">] sexual </w:t>
      </w:r>
      <w:r>
        <w:rPr>
          <w:u w:val="single"/>
        </w:rPr>
        <w:t xml:space="preserve">orientation, or gender identity or expression</w:t>
      </w:r>
      <w:r>
        <w:t xml:space="preserve"> [</w:t>
      </w:r>
      <w:r>
        <w:rPr>
          <w:strike/>
        </w:rPr>
        <w:t xml:space="preserve">preference</w:t>
      </w:r>
      <w:r>
        <w:t xml:space="preserve">] or by status as a peace officer or judge.</w:t>
      </w:r>
    </w:p>
    <w:p w:rsidR="003F3435" w:rsidRDefault="0032493E">
      <w:pPr>
        <w:spacing w:line="480" w:lineRule="auto"/>
        <w:ind w:firstLine="720"/>
        <w:jc w:val="both"/>
      </w:pPr>
      <w:r>
        <w:t xml:space="preserve">(c)</w:t>
      </w:r>
      <w:r xml:space="preserve">
        <w:t> </w:t>
      </w:r>
      <w:r xml:space="preserve">
        <w:t> </w:t>
      </w:r>
      <w:r>
        <w:t xml:space="preserve">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w:t>
      </w:r>
      <w:r>
        <w:rPr>
          <w:u w:val="single"/>
        </w:rPr>
        <w:t xml:space="preserve"> </w:t>
      </w:r>
      <w:r>
        <w:rPr>
          <w:u w:val="single"/>
        </w:rPr>
        <w:t xml:space="preserve">means the actual or perceived status of an individual with respect to the individual's sexuality</w:t>
      </w:r>
      <w:r>
        <w:t xml:space="preserve">[</w:t>
      </w:r>
      <w:r>
        <w:rPr>
          <w:strike/>
        </w:rPr>
        <w:t xml:space="preserve">, "sexual preference" has the following meaning only:  a preference for heterosexuality, homosexuality, or bisexuality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153.003, Family Code, is amended to read as follows:</w:t>
      </w:r>
    </w:p>
    <w:p w:rsidR="003F3435" w:rsidRDefault="0032493E">
      <w:pPr>
        <w:spacing w:line="480" w:lineRule="auto"/>
        <w:ind w:firstLine="720"/>
        <w:jc w:val="both"/>
      </w:pPr>
      <w:r>
        <w:t xml:space="preserve">Sec.</w:t>
      </w:r>
      <w:r xml:space="preserve">
        <w:t> </w:t>
      </w:r>
      <w:r>
        <w:t xml:space="preserve">153.003.</w:t>
      </w:r>
      <w:r xml:space="preserve">
        <w:t> </w:t>
      </w:r>
      <w:r xml:space="preserve">
        <w:t> </w:t>
      </w:r>
      <w:r>
        <w:t xml:space="preserve">NO DISCRIMINATION BASED ON SEX</w:t>
      </w:r>
      <w:r>
        <w:rPr>
          <w:u w:val="single"/>
        </w:rPr>
        <w:t xml:space="preserve">, SEXUAL ORIENTATION, GENDER IDENTITY OR EXPRESSION,</w:t>
      </w:r>
      <w:r>
        <w:t xml:space="preserve"> OR MARITAL STATUS. </w:t>
      </w:r>
      <w:r>
        <w:t xml:space="preserve"> </w:t>
      </w:r>
      <w:r>
        <w:rPr>
          <w:u w:val="single"/>
        </w:rPr>
        <w:t xml:space="preserve">(a)</w:t>
      </w:r>
      <w:r>
        <w:t xml:space="preserve">  The court shall consider the qualifications of the parties without regard to their marital status</w:t>
      </w:r>
      <w:r>
        <w:rPr>
          <w:u w:val="single"/>
        </w:rPr>
        <w:t xml:space="preserve">, sexual orientation, or gender identity or expression,</w:t>
      </w:r>
      <w:r>
        <w:t xml:space="preserve"> or to the sex of the party or the child in determining:</w:t>
      </w:r>
    </w:p>
    <w:p w:rsidR="003F3435" w:rsidRDefault="0032493E">
      <w:pPr>
        <w:spacing w:line="480" w:lineRule="auto"/>
        <w:ind w:firstLine="1440"/>
        <w:jc w:val="both"/>
      </w:pPr>
      <w:r>
        <w:t xml:space="preserve">(1)</w:t>
      </w:r>
      <w:r xml:space="preserve">
        <w:t> </w:t>
      </w:r>
      <w:r xml:space="preserve">
        <w:t> </w:t>
      </w:r>
      <w:r>
        <w:t xml:space="preserve">which party to appoint as sole managing conservator;</w:t>
      </w:r>
    </w:p>
    <w:p w:rsidR="003F3435" w:rsidRDefault="0032493E">
      <w:pPr>
        <w:spacing w:line="480" w:lineRule="auto"/>
        <w:ind w:firstLine="1440"/>
        <w:jc w:val="both"/>
      </w:pPr>
      <w:r>
        <w:t xml:space="preserve">(2)</w:t>
      </w:r>
      <w:r xml:space="preserve">
        <w:t> </w:t>
      </w:r>
      <w:r xml:space="preserve">
        <w:t> </w:t>
      </w:r>
      <w:r>
        <w:t xml:space="preserve">whether to appoint a party as joint managing conservator; and</w:t>
      </w:r>
    </w:p>
    <w:p w:rsidR="003F3435" w:rsidRDefault="0032493E">
      <w:pPr>
        <w:spacing w:line="480" w:lineRule="auto"/>
        <w:ind w:firstLine="1440"/>
        <w:jc w:val="both"/>
      </w:pPr>
      <w:r>
        <w:t xml:space="preserve">(3)</w:t>
      </w:r>
      <w:r xml:space="preserve">
        <w:t> </w:t>
      </w:r>
      <w:r xml:space="preserve">
        <w:t> </w:t>
      </w:r>
      <w:r>
        <w:t xml:space="preserve">the terms and conditions of conservatorship and possession of and access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544.002,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w:t>
      </w:r>
    </w:p>
    <w:p w:rsidR="003F3435" w:rsidRDefault="0032493E">
      <w:pPr>
        <w:spacing w:line="480" w:lineRule="auto"/>
        <w:ind w:firstLine="1440"/>
        <w:jc w:val="both"/>
      </w:pPr>
      <w:r>
        <w:t xml:space="preserve">(1)</w:t>
      </w:r>
      <w:r xml:space="preserve">
        <w:t> </w:t>
      </w:r>
      <w:r xml:space="preserve">
        <w:t> </w:t>
      </w:r>
      <w:r>
        <w:t xml:space="preserve">race, color, religion, or national origin;</w:t>
      </w:r>
    </w:p>
    <w:p w:rsidR="003F3435" w:rsidRDefault="0032493E">
      <w:pPr>
        <w:spacing w:line="480" w:lineRule="auto"/>
        <w:ind w:firstLine="1440"/>
        <w:jc w:val="both"/>
      </w:pPr>
      <w:r>
        <w:t xml:space="preserve">(2)</w:t>
      </w:r>
      <w:r xml:space="preserve">
        <w:t> </w:t>
      </w:r>
      <w:r xml:space="preserve">
        <w:t> </w:t>
      </w:r>
      <w:r>
        <w:t xml:space="preserve">age, gender, marital status, or geographic location;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disability or partial disability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or gender identity or expression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42.014,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Section 153.003, Family Code, as amended by this Act, applies to a suit affecting the parent-child relationship pending in a trial court on the effective date of this Act or filed on or after that date.</w:t>
      </w:r>
    </w:p>
    <w:p w:rsidR="003F3435" w:rsidRDefault="0032493E">
      <w:pPr>
        <w:spacing w:line="480" w:lineRule="auto"/>
        <w:ind w:firstLine="720"/>
        <w:jc w:val="both"/>
      </w:pPr>
      <w:r>
        <w:t xml:space="preserve">(b)</w:t>
      </w:r>
      <w:r xml:space="preserve">
        <w:t> </w:t>
      </w:r>
      <w:r xml:space="preserve">
        <w:t> </w:t>
      </w:r>
      <w:r>
        <w:t xml:space="preserve">The enactment of this Act constitutes a material and substantial change of circumstances sufficient to warrant modification of a court order or portion of a decree that provides for conservatorship or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544.002,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21.051, Labor Code, as amended by this Act, applies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