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special education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48.102(a) and (j),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w:t>
      </w:r>
      <w:r>
        <w:t xml:space="preserve">[</w:t>
      </w:r>
      <w:r>
        <w:rPr>
          <w:strike/>
        </w:rPr>
        <w:t xml:space="preserve">in average daily attendance</w:t>
      </w:r>
      <w:r>
        <w:t xml:space="preserve">] in a special education program under Subchapter A, Chapter 29, in a mainstream instructional arrangement, a school district is entitled to an annual allotment equal to the basic allotment, or, if applicable, the sum of the basic allotment and the allotment under Section 48.101 to which the district is entitled, multiplied by 1.15. </w:t>
      </w:r>
      <w:r>
        <w:t xml:space="preserve"> </w:t>
      </w:r>
      <w:r>
        <w:t xml:space="preserve">For each full-time equivalent student [</w:t>
      </w:r>
      <w:r>
        <w:rPr>
          <w:strike/>
        </w:rPr>
        <w:t xml:space="preserve">in average daily attendance</w:t>
      </w:r>
      <w:r>
        <w:t xml:space="preserv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(j)</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full-time equivalent student [</w:t>
      </w:r>
      <w:r>
        <w:rPr>
          <w:strike/>
        </w:rPr>
        <w:t xml:space="preserve">in average daily attendance</w:t>
      </w:r>
      <w:r>
        <w:t xml:space="preserve">], multiplied by the amount designated for the student's instructional arrangement under this section[</w:t>
      </w:r>
      <w:r>
        <w:rPr>
          <w:strike/>
        </w:rPr>
        <w:t xml:space="preserve">, for each day the program is provided divided by the number of days in the minimum school year</w:t>
      </w:r>
      <w:r>
        <w:t xml:space="preserve">]. </w:t>
      </w:r>
      <w:r>
        <w:t xml:space="preserve"> </w:t>
      </w:r>
      <w:r>
        <w:t xml:space="preserve">The total amount of state funding for extended year services under this section may not exceed $10 million per year. </w:t>
      </w:r>
      <w:r>
        <w:t xml:space="preserve"> </w:t>
      </w:r>
      <w:r>
        <w:t xml:space="preserve">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