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student enrollment in certain special-purpose districts and the allotment under the public school finance system for those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11.351,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special-purpose school district established under this section that is operated by a general academic teaching institution, as that term is defined by Section 61.003,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enrolling students or creating a waitlist for student enrollment, prioritize military-connected students, as that term is defined by Section 25.006(d);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 a student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48.053(b),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For each student who resides in this state and is enrolled in the district, a</w:t>
      </w:r>
      <w:r>
        <w:t xml:space="preserve">] school district to which this section applies is entitled to funding under this chapter as if the district had no tier one local share for purposes of Section 48.256 </w:t>
      </w:r>
      <w:r>
        <w:rPr>
          <w:u w:val="single"/>
        </w:rPr>
        <w:t xml:space="preserve">for each student enrolled in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resides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4124 was passed by the House on May 14, 2021, by the following vote:</w:t>
      </w:r>
      <w:r xml:space="preserve">
        <w:t> </w:t>
      </w:r>
      <w:r xml:space="preserve">
        <w:t> </w:t>
      </w:r>
      <w:r>
        <w:t xml:space="preserve">Yeas 126, Nays 19, 2 present, not voting; that the House refused to concur in Senate amendments to H.B. No. 4124 on May 28, 2021, and requested the appointment of a conference committee to consider the differences between the two houses; and that the House adopted the conference committee report on H.B. No. 4124 on May 30, 2021, by the following vote:</w:t>
      </w:r>
      <w:r xml:space="preserve">
        <w:t> </w:t>
      </w:r>
      <w:r xml:space="preserve">
        <w:t> </w:t>
      </w:r>
      <w:r>
        <w:t xml:space="preserve">Yeas 110, Nays 33, 0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4124 was passed by the Senate, with amendments, on May 26, 2021,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4124 on May 30,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