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4126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that natural gas and electricity are necessities during a declared disaster under the Deceptive Trade Practices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17.46, Business &amp; Commerce Code, is amended by amending Subsection (b), Subdivision (27) to read as follows:</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w:t>
      </w:r>
      <w:r>
        <w:rPr>
          <w:u w:val="single"/>
        </w:rPr>
        <w:t xml:space="preserve">natural gas, electricity,</w:t>
      </w:r>
      <w:r>
        <w:t xml:space="preserv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w:t>
      </w:r>
      <w:r>
        <w:rPr>
          <w:u w:val="single"/>
        </w:rPr>
        <w:t xml:space="preserve">natural gas, electricity,</w:t>
      </w:r>
      <w:r>
        <w:t xml:space="preserve"> or another necessity;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 or practice that occurs on or after the effective date of this Act.  An act or practice that occurs before the effective date of this Act is governed by the law in effect on the date the act or practice occurred, and the former law is continued in effect </w:t>
      </w:r>
      <w:r>
        <w:t xml:space="preserve">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