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87R7312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imposition of a county housing first initiatives fee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118, Local Government Code, is amended by adding Section 118.027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118.027.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FEE FOR HOUSING FIRST INITIATIVES IN CERTAIN COUNTIES.  (a) This section applies only to a county with a population of 500,000 or more.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may adopt a housing first initiatives fee. The fee must 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adopted by the commissioners court at an open meeting;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itemized in the county's annual budget as part of the budget preparation process.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fee shall be paid by a person at the time the person pays a fee under Section 118.011(a)(1) or 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fee shall be deposited in a separate housing first initiatives account in the general fund of the county. Any interest that accrues on the account remains with the account.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Revenue collected from the fee may be used only to fund housing initiatives,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emergency shelter expansion;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homelessness prevention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street outreach programs;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rapid rehousing programs;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transitional housing programs.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may contract with a private entity, a nonprofit corporation, or a political subdivision to undertake an initiative authorized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