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87R14954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Ellzey</w:t>
      </w:r>
      <w:r xml:space="preserve">
        <w:tab wTab="150" tlc="none" cTlc="0"/>
      </w:r>
      <w:r>
        <w:t xml:space="preserve">H.B.</w:t>
      </w:r>
      <w:r xml:space="preserve">
        <w:t> </w:t>
      </w:r>
      <w:r>
        <w:t xml:space="preserve">No.</w:t>
      </w:r>
      <w:r xml:space="preserve">
        <w:t> </w:t>
      </w:r>
      <w:r>
        <w:t xml:space="preserve">4138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movement of certain vehicles transporting steel products made in the United States;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623, Transportation Code, is amended by adding Subchapter W to read as follows:</w:t>
      </w:r>
    </w:p>
    <w:p w:rsidR="003F3435" w:rsidRDefault="0032493E">
      <w:pPr>
        <w:spacing w:line="480" w:lineRule="auto"/>
        <w:jc w:val="center"/>
      </w:pPr>
      <w:r>
        <w:rPr>
          <w:u w:val="single"/>
        </w:rPr>
        <w:t xml:space="preserve">SUBCHAPTER W.  VEHICLES TRANSPORTING UNITED STATES STEEL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623.451.</w:t>
      </w:r>
      <w:r>
        <w:rPr>
          <w:u w:val="single"/>
        </w:rPr>
        <w:t xml:space="preserve"> </w:t>
      </w:r>
      <w:r>
        <w:rPr>
          <w:u w:val="single"/>
        </w:rPr>
        <w:t xml:space="preserve"> </w:t>
      </w:r>
      <w:r>
        <w:rPr>
          <w:u w:val="single"/>
        </w:rPr>
        <w:t xml:space="preserve">ISSUANCE OF PERMIT.  (a)  The department may issue permits for the movement of oversize or overweight vehicles transporting steel products made in the United States in Dallas, Ellis, and Johnson Counties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following roadways: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Miller Road in Midlothian from the intersection of Miller Road and Challenger to the intersection of Miller Road and U.S. Highway 67;</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most direct route from the intersection of U.S. Highway 67 and County Road 607 in Alvarado to the intersection of U.S. Highway 67 and U.S. Highway 287 using U.S. Highway 67 Business, and U.S. Highway 67;</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Ward Road in Midlothian;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Edgefield Way in Cedar Hill;</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most direct route from Edgefield Way in Cedar Hill to the intersection of U.S. Highway 67 and U.S. Highway 287 using U.S. Highway 67;</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Sentry Drive in Mansfield;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most direct route from Sentry Drive in Mansfield to the intersection of U.S. Highway 67 and U.S. Highway 287 using U.S. Highway 287 Business and U.S. Highway 287;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another route designated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gross weight of a vehicle operating under a permit issued under this subchapter may not exceed 96,000 pounds.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623.452.</w:t>
      </w:r>
      <w:r>
        <w:rPr>
          <w:u w:val="single"/>
        </w:rPr>
        <w:t xml:space="preserve"> </w:t>
      </w:r>
      <w:r>
        <w:rPr>
          <w:u w:val="single"/>
        </w:rPr>
        <w:t xml:space="preserve"> </w:t>
      </w:r>
      <w:r>
        <w:rPr>
          <w:u w:val="single"/>
        </w:rPr>
        <w:t xml:space="preserve">PERMIT FEES.  (a) </w:t>
      </w:r>
      <w:r>
        <w:rPr>
          <w:u w:val="single"/>
        </w:rPr>
        <w:t xml:space="preserve"> </w:t>
      </w:r>
      <w:r>
        <w:rPr>
          <w:u w:val="single"/>
        </w:rPr>
        <w:t xml:space="preserve">The department may collect a fee for permits issued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Fees collected under Subsection (a) shall be deposited in the state highway fund and may be used only for the operation and maintenance of the roadways described by or designated under Section 623.451.</w:t>
      </w:r>
    </w:p>
    <w:p w:rsidR="003F3435" w:rsidRDefault="0032493E">
      <w:pPr>
        <w:spacing w:line="480" w:lineRule="auto"/>
        <w:ind w:firstLine="720"/>
        <w:jc w:val="both"/>
      </w:pPr>
      <w:r>
        <w:rPr>
          <w:u w:val="single"/>
        </w:rPr>
        <w:t xml:space="preserve">Sec.</w:t>
      </w:r>
      <w:r>
        <w:rPr>
          <w:u w:val="single"/>
        </w:rPr>
        <w:t xml:space="preserve"> </w:t>
      </w:r>
      <w:r>
        <w:rPr>
          <w:u w:val="single"/>
        </w:rPr>
        <w:t xml:space="preserve">623.453.</w:t>
      </w:r>
      <w:r>
        <w:rPr>
          <w:u w:val="single"/>
        </w:rPr>
        <w:t xml:space="preserve"> </w:t>
      </w:r>
      <w:r>
        <w:rPr>
          <w:u w:val="single"/>
        </w:rPr>
        <w:t xml:space="preserve"> </w:t>
      </w:r>
      <w:r>
        <w:rPr>
          <w:u w:val="single"/>
        </w:rPr>
        <w:t xml:space="preserve">TIME OF MOVEMENT.  A permit issued under this subchapter must specify the time during which movement authorized by the permit is allowed.</w:t>
      </w:r>
    </w:p>
    <w:p w:rsidR="003F3435" w:rsidRDefault="0032493E">
      <w:pPr>
        <w:spacing w:line="480" w:lineRule="auto"/>
        <w:ind w:firstLine="720"/>
        <w:jc w:val="both"/>
      </w:pPr>
      <w:r>
        <w:rPr>
          <w:u w:val="single"/>
        </w:rPr>
        <w:t xml:space="preserve">Sec.</w:t>
      </w:r>
      <w:r>
        <w:rPr>
          <w:u w:val="single"/>
        </w:rPr>
        <w:t xml:space="preserve"> </w:t>
      </w:r>
      <w:r>
        <w:rPr>
          <w:u w:val="single"/>
        </w:rPr>
        <w:t xml:space="preserve">623.454.</w:t>
      </w:r>
      <w:r>
        <w:rPr>
          <w:u w:val="single"/>
        </w:rPr>
        <w:t xml:space="preserve"> </w:t>
      </w:r>
      <w:r>
        <w:rPr>
          <w:u w:val="single"/>
        </w:rPr>
        <w:t xml:space="preserve"> </w:t>
      </w:r>
      <w:r>
        <w:rPr>
          <w:u w:val="single"/>
        </w:rPr>
        <w:t xml:space="preserve">SPEED LIMIT.  Movement authorized by a permit issued under this subchapter may not exceed the posted speed limit or 55 miles per hour, whichever is less. A violation of this provision constitutes a moving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623.455.</w:t>
      </w:r>
      <w:r>
        <w:rPr>
          <w:u w:val="single"/>
        </w:rPr>
        <w:t xml:space="preserve"> </w:t>
      </w:r>
      <w:r>
        <w:rPr>
          <w:u w:val="single"/>
        </w:rPr>
        <w:t xml:space="preserve"> </w:t>
      </w:r>
      <w:r>
        <w:rPr>
          <w:u w:val="single"/>
        </w:rPr>
        <w:t xml:space="preserve">RULES.  The department shall adopt rules necessary to implement this subchapter, including rules governing the application for a permit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