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87R4991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the law governing the provision of state aid to certain local governments disproportionately affected by the granting of ad valorem tax relief to disabled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140.011(a)(2), Local Government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"Local government"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municipality adjacent to </w:t>
      </w:r>
      <w:r>
        <w:rPr>
          <w:u w:val="single"/>
        </w:rPr>
        <w:t xml:space="preserve">or with extraterritorial jurisdiction located within two miles of the boundary line of</w:t>
      </w:r>
      <w:r>
        <w:t xml:space="preserve"> a United States military installation;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 xml:space="preserve">
        <w:t> </w:t>
      </w:r>
      <w:r>
        <w:t xml:space="preserve">in which a United States military installation is wholly or partly located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that: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less than 200,000; and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two counties that contain the same United States Army installation, neither of which has a population greater than 1.5 million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the eligibility of a qualified local government to apply for a disabled veteran assistance payment beginning with the fiscal year of the local government that ends in the 2021 tax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