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energy efficiency standards for appliances.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447.012,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447.012.</w:t>
      </w:r>
      <w:r xml:space="preserve">
        <w:t> </w:t>
      </w:r>
      <w:r xml:space="preserve">
        <w:t> </w:t>
      </w:r>
      <w:r>
        <w:t xml:space="preserve">APPLIANCE STANDARDS</w:t>
      </w:r>
      <w:r>
        <w:rPr>
          <w:u w:val="single"/>
        </w:rPr>
        <w:t xml:space="preserve">;  REPORTS</w:t>
      </w:r>
      <w:r>
        <w:t xml:space="preserve">.  </w:t>
      </w:r>
      <w:r>
        <w:rPr>
          <w:u w:val="single"/>
        </w:rPr>
        <w:t xml:space="preserve">(a)</w:t>
      </w:r>
      <w:r>
        <w:t xml:space="preserve">  The state energy conservation office shall determine the feasibility and cost-benefit to consumers of setting [</w:t>
      </w:r>
      <w:r>
        <w:rPr>
          <w:strike/>
        </w:rPr>
        <w:t xml:space="preserve">appliance</w:t>
      </w:r>
      <w:r>
        <w:t xml:space="preserve">] </w:t>
      </w:r>
      <w:r>
        <w:rPr>
          <w:u w:val="single"/>
        </w:rPr>
        <w:t xml:space="preserve">energy efficiency</w:t>
      </w:r>
      <w:r>
        <w:t xml:space="preserve"> standards for appliances that are not currently regulated for energy efficiency in this state </w:t>
      </w:r>
      <w:r>
        <w:rPr>
          <w:u w:val="single"/>
        </w:rPr>
        <w:t xml:space="preserve">by the federal government</w:t>
      </w:r>
      <w:r>
        <w:t xml:space="preserve">, if the office determines that [</w:t>
      </w:r>
      <w:r>
        <w:rPr>
          <w:strike/>
        </w:rPr>
        <w:t xml:space="preserve">the</w:t>
      </w:r>
      <w:r>
        <w:t xml:space="preserve">] new standards would reduce the emission of air contaminants </w:t>
      </w:r>
      <w:r>
        <w:rPr>
          <w:u w:val="single"/>
        </w:rPr>
        <w:t xml:space="preserve">or improve the efficiency and reliability of the delivery of electrical power in Texas, including in periods of high demand</w:t>
      </w:r>
      <w:r>
        <w:t xml:space="preserve">. [</w:t>
      </w:r>
      <w:r>
        <w:rPr>
          <w:strike/>
        </w:rPr>
        <w:t xml:space="preserve">The office may not consider the feasibility and cost-benefit to consumers of setting appliance standards for air conditioning systems under this section.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September 1 of each even-numbered year, the state energy conservation office shall prepare and submit to the governor and the legislature written reports on its findings and recommendations, including legislative recommendations.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