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87R12200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the voter-approval tax rate of certain taxing units be adjusted to reflect changes in the amount of money received by the taxing unit directly from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Tax Code, is amended by adding Section 26.0444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26.0444.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RATE ADJUSTMENT FOR MONEY RECEIVED FROM FEDERAL GOVERNMENT.  (a)  In this section, "direct federal receipts" for a tax year means the amount of money received by a taxing unit directly from the federal government for any purpose during the period beginning on July 1 of the year preceding the tax year for which a tax rate is adopted and ending on June 30 of the tax year for which the tax rate is adopted.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school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taxing unit's direct federal receipts exceed the amount of those receipts for the preceding tax year, the voter-approval tax rate for the taxing unit is decreased by the rate computed according to the following formula: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rPr>
          <w:u w:val="single"/>
        </w:rPr>
        <w:t xml:space="preserve">(Current Tax Year's Direct Federal Receipts</w:t>
      </w:r>
      <w:r>
        <w:rPr>
          <w:u w:val="single"/>
        </w:rPr>
        <w:t xml:space="preserve"> </w:t>
      </w:r>
      <w:r>
        <w:rPr>
          <w:u w:val="single"/>
        </w:rPr>
        <w:t xml:space="preserve">-</w:t>
      </w:r>
      <w:r>
        <w:rPr>
          <w:u w:val="single"/>
        </w:rPr>
        <w:t xml:space="preserve"> </w:t>
      </w:r>
      <w:r>
        <w:rPr>
          <w:u w:val="single"/>
        </w:rPr>
        <w:t xml:space="preserve">Preceding Tax Year's Direct Federal Receipts) / (Current Total Value - New Property Value)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taxing unit shall include a notice of the decrease in the voter-approval tax rate provided by this section, including a description and the amount of direct federal receipts, in the information published under Section 26.04(e) and, as applicable, in the notice prescribed by Section 26.06 or 26.061.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calculation of the voter-approval rate of a taxing unit only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