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87R21747 KSD-F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Muñoz, Jr., Ramos, Raymond,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Guerra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criteria for the award of adult education and literacy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315.002, Labor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permitted under federal law, the commission by rule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performance requirements that each entity that receives money appropriated under this chapter must satisfy to qualify for a continuing award of funds under this chapter, which must include the achievement of enrollment targets and performance benchmarks that are comparable to those provided by Section 315.007(c);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process for giving priority in awarding funds under this chapter to entities that consistently satisfy the annual performance requirements established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