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87R21747 KSD-F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performance criteria for the award of adult education and literacy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315.002, Labor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permitted under federal law, the commission by rule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performance requirements that each entity that receives money appropriated under this chapter must satisfy to qualify for a continuing award of funds under this chapter, which must include the achievement of enrollment targets and performance benchmarks that are comparable to those provided by Section 315.007(c);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process for giving priority in awarding funds under this chapter to entities that consistently satisfy the annual performance requirements established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