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criteria for the award of certain adult education and literacy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315.006,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under federal law, the commission by rule shall prescribe criteria to ensure that each entity that receives money appropriated under this section achieves enrollment targets and performance benchmarks that are comparable to those provided by Section 315.007(c).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