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87R12115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practicing  veterinary medicine without a license;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801.504(b),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 except that an offense under this section is a state jail felony if it is shown on the trial of the offense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violated Section 801.251;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commission of the offense falsely represented to another that the actor was a veterinarian or was affiliated with a veterinarian's practice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