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87R13575 TYPED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Ellzey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4195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unlawful employment practices with respect to the exercise of the right of free speech, right to petition, and right of association.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21.055, Labor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21.055.</w:t>
      </w:r>
      <w:r xml:space="preserve">
        <w:t> </w:t>
      </w:r>
      <w:r xml:space="preserve">
        <w:t> </w:t>
      </w:r>
      <w:r>
        <w:t xml:space="preserve">RETALIATION.  </w:t>
      </w:r>
      <w:r>
        <w:rPr>
          <w:u w:val="single"/>
        </w:rPr>
        <w:t xml:space="preserve">(a)</w:t>
      </w:r>
      <w:r>
        <w:t xml:space="preserve"> </w:t>
      </w:r>
      <w:r>
        <w:t xml:space="preserve"> </w:t>
      </w:r>
      <w:r>
        <w:t xml:space="preserve">An employer, labor union, or employment agency commits an unlawful employment practice if the employer, labor union, or employment agency retaliates or discriminates against a person who, under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opposes a discriminatory practice;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makes or files a charge;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files a complaint;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testifies, assists, or participates in any manner in an investigation, proceeding, or hearing.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employer, labor union, or employment agency commits an unlawful employment practice if the employer, labor union, or employment agency retaliates or discriminates against a person who engages in lawful conduct involving the exercise of civil rights guaranteed by the Constitution of the United States or of this state: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during a period of time that is not during the person's assigned working hours;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 location that is not the person's work site or on the premises of the employer, labor union, or employment agency.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an unlawful employment practice that occurs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4195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