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87R12966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regulatory authority of a municipality, including authority to prohibit abortions.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51, Local Government Code, is amended by adding Section 51.080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51.080.</w:t>
      </w:r>
      <w:r>
        <w:rPr>
          <w:u w:val="single"/>
        </w:rPr>
        <w:t xml:space="preserve"> </w:t>
      </w:r>
      <w:r>
        <w:rPr>
          <w:u w:val="single"/>
        </w:rPr>
        <w:t xml:space="preserve"> </w:t>
      </w:r>
      <w:r>
        <w:rPr>
          <w:u w:val="single"/>
        </w:rPr>
        <w:t xml:space="preserve">AUTHORITY TO PROHIBIT ABORTION. </w:t>
      </w:r>
      <w:r>
        <w:rPr>
          <w:u w:val="single"/>
        </w:rPr>
        <w:t xml:space="preserve"> </w:t>
      </w:r>
      <w:r>
        <w:rPr>
          <w:u w:val="single"/>
        </w:rPr>
        <w:t xml:space="preserve">Notwithstanding any other law, a home-rule municipality by ordinance may prohibit a person from performing an abortion, or prescribing a medication to induce an abortion, at a location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54, Local Government Code, is amended by adding Section 54.007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54.007.</w:t>
      </w:r>
      <w:r>
        <w:rPr>
          <w:u w:val="single"/>
        </w:rPr>
        <w:t xml:space="preserve"> </w:t>
      </w:r>
      <w:r>
        <w:rPr>
          <w:u w:val="single"/>
        </w:rPr>
        <w:t xml:space="preserve"> </w:t>
      </w:r>
      <w:r>
        <w:rPr>
          <w:u w:val="single"/>
        </w:rPr>
        <w:t xml:space="preserve">PENALTIES FOR CONDUCT PUNISHABLE UNDER STATE LAW.  Except as otherwise specifically provided by state law, a municipality may not adopt or enforce an ordinance that provides a penalty for conduct punishable under state law as a misdemeanor or by a civil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229.001(a),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43.002 of this code and Chapter 251, Agriculture Code, a municipality may not adopt </w:t>
      </w:r>
      <w:r>
        <w:rPr>
          <w:u w:val="single"/>
        </w:rPr>
        <w:t xml:space="preserve">or enforce</w:t>
      </w:r>
      <w:r>
        <w:t xml:space="preserve"> regulations relating to:</w:t>
      </w:r>
    </w:p>
    <w:p w:rsidR="003F3435" w:rsidRDefault="0032493E">
      <w:pPr>
        <w:spacing w:line="480" w:lineRule="auto"/>
        <w:ind w:firstLine="1440"/>
        <w:jc w:val="both"/>
      </w:pPr>
      <w:r>
        <w:t xml:space="preserve">(1)</w:t>
      </w:r>
      <w:r xml:space="preserve">
        <w:t> </w:t>
      </w:r>
      <w:r xml:space="preserve">
        <w:t> </w:t>
      </w:r>
      <w:r>
        <w:t xml:space="preserve">the transfer, possession, wearing, carrying, ownership, storage, transportation, licensing, or registration of firearms, air guns, knives, ammunition, or firearm or air gun supplies or accessories;</w:t>
      </w:r>
    </w:p>
    <w:p w:rsidR="003F3435" w:rsidRDefault="0032493E">
      <w:pPr>
        <w:spacing w:line="480" w:lineRule="auto"/>
        <w:ind w:firstLine="1440"/>
        <w:jc w:val="both"/>
      </w:pPr>
      <w:r>
        <w:t xml:space="preserve">(2)</w:t>
      </w:r>
      <w:r xml:space="preserve">
        <w:t> </w:t>
      </w:r>
      <w:r xml:space="preserve">
        <w:t> </w:t>
      </w:r>
      <w:r>
        <w:t xml:space="preserve">commerce in firearms, air guns, knives, ammunition, or firearm or air gun supplies or accessories; or</w:t>
      </w:r>
    </w:p>
    <w:p w:rsidR="003F3435" w:rsidRDefault="0032493E">
      <w:pPr>
        <w:spacing w:line="480" w:lineRule="auto"/>
        <w:ind w:firstLine="1440"/>
        <w:jc w:val="both"/>
      </w:pPr>
      <w: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criminal offense committed or a violation that occurs on or after the effective date of this Act.  A criminal offense committed or a violation that occurs before the effective date of this Act is governed by the law in effect on the date the offense was committed or the violation occurred, and the former law is continued in effect for that purpose.  For purposes of this section, a criminal offense was committed or a violation occurred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