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87R18348 CXP-F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4202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4202: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4202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including work colleges in the TexShare library consortium.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441.221(2),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"Institution of higher education" includes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an institution of higher education </w:t>
      </w:r>
      <w:r>
        <w:rPr>
          <w:u w:val="single"/>
        </w:rPr>
        <w:t xml:space="preserve">and</w:t>
      </w:r>
      <w:r>
        <w:t xml:space="preserve"> [</w:t>
      </w:r>
      <w:r>
        <w:rPr>
          <w:strike/>
        </w:rPr>
        <w:t xml:space="preserve">as defined by Section 61.003, Education Code, and</w:t>
      </w:r>
      <w:r>
        <w:t xml:space="preserve">] a private or independent institution of higher education</w:t>
      </w:r>
      <w:r>
        <w:rPr>
          <w:u w:val="single"/>
        </w:rPr>
        <w:t xml:space="preserve">,</w:t>
      </w:r>
      <w:r>
        <w:t xml:space="preserve"> as </w:t>
      </w:r>
      <w:r>
        <w:rPr>
          <w:u w:val="single"/>
        </w:rPr>
        <w:t xml:space="preserve">those terms are</w:t>
      </w:r>
      <w:r>
        <w:t xml:space="preserve"> defined by Section 61.003, Education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work college, as defined by 20 U.S.C. Section 1087-58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4202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