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clinical decision support software and laboratory benefits management programs by physicians and health care providers in connection with provision of clinical laboratory services to health benefit plan enrollees.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1451, Insurance Code, is amended by adding Subchapter M to read as follows:</w:t>
      </w:r>
    </w:p>
    <w:p w:rsidR="003F3435" w:rsidRDefault="0032493E">
      <w:pPr>
        <w:spacing w:line="480" w:lineRule="auto"/>
        <w:jc w:val="center"/>
      </w:pPr>
      <w:r>
        <w:rPr>
          <w:u w:val="single"/>
        </w:rPr>
        <w:t xml:space="preserve">SUBCHAPTER M. CLINICAL LABORATORIES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"Clinical decision support software" means computer software that compares patient characteristics to a database of  clinical knowledge to produce patient-specific assessments or  recommendations to assist a physician or health care provider in  making clinical decisions.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laboratory service" means the examination of a sample of biological material taken from a human body ordered by a physician or health care provider for use in the diagnosis,  prevention, or treatment of a disease or the identification or  assessment of a medical or physical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"Enrollee" means an individual enrolled in a health benefit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 plan issuer" means an entity authorized under this code or another insurance law of this state to provide health insurance or another form of health benefit plan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hospital service corporation operating under Chapter 842;</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approved nonprofit health corporation that  holds a certificate of authority under Chapter 844;</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multiple employer welfare arrangement that  holds a certificate of authority under Chapter 846;</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fraternal benefit society operating under Chapter 885;</w:t>
      </w:r>
      <w:r>
        <w:t xml:space="preserve"> </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exchange operating under Chapter 942.</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"Laboratory benefits management program" means a health benefit plan issuer protocol or program administered by the health benefit plan issuer or an entity under contract with the  health benefit plan issuer that dictates or limits decision making by a physician or health care provider relating to the use of clinical laboratory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1451.602.</w:t>
      </w:r>
      <w:r>
        <w:rPr>
          <w:u w:val="single"/>
        </w:rPr>
        <w:t xml:space="preserve"> </w:t>
      </w:r>
      <w:r>
        <w:rPr>
          <w:u w:val="single"/>
        </w:rPr>
        <w:t xml:space="preserve"> </w:t>
      </w:r>
      <w:r>
        <w:rPr>
          <w:u w:val="single"/>
        </w:rPr>
        <w:t xml:space="preserve">CERTAIN REQUIREMENTS FOR USE OF CLINICAL LABORATORIES AND LABORATORY SERVICES PROHIBITED.  (a) </w:t>
      </w:r>
      <w:r>
        <w:rPr>
          <w:u w:val="single"/>
        </w:rPr>
        <w:t xml:space="preserve"> </w:t>
      </w:r>
      <w:r>
        <w:rPr>
          <w:u w:val="single"/>
        </w:rPr>
        <w:t xml:space="preserve">A health benefit plan issuer may not require the use of clinical decision support software or a laboratory benefits management program by an enrollee's physician or health care provider before the physician or health care provider orders a clinical laboratory service for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direct or limit the decision making of an enrollee's physician or health care provider relating to the use of a clinical laboratory service or referral of a patient specimen to a laboratory in the health benefit plan network or otherwise designated by the health benefit plan issuer.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may not limit or deny payment for a clinical laboratory service based on whether the  ordering physician or health care provider uses clinical decision support software or a laboratory benefits management program.</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1451, Insurance Code, as added by this Act, applies to a contract that is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